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1C" w:rsidRPr="00A36543" w:rsidRDefault="00BA6D1C" w:rsidP="00A36543">
      <w:pPr>
        <w:tabs>
          <w:tab w:val="left" w:pos="0"/>
        </w:tabs>
        <w:jc w:val="center"/>
        <w:rPr>
          <w:b/>
          <w:sz w:val="28"/>
          <w:szCs w:val="28"/>
        </w:rPr>
      </w:pPr>
      <w:r w:rsidRPr="00A36543">
        <w:rPr>
          <w:b/>
          <w:sz w:val="28"/>
          <w:szCs w:val="28"/>
        </w:rPr>
        <w:t xml:space="preserve">IZVJEŠTAJ O ZADUŽIVANJU NA DOMAĆEM I STRANOM TRŽIŠTU NOVCA I KAPITALA U </w:t>
      </w:r>
      <w:r w:rsidR="0082681D" w:rsidRPr="00A36543">
        <w:rPr>
          <w:b/>
          <w:sz w:val="28"/>
          <w:szCs w:val="28"/>
        </w:rPr>
        <w:t xml:space="preserve">PRVOM POLUGODIŠTU </w:t>
      </w:r>
      <w:r w:rsidRPr="00A36543">
        <w:rPr>
          <w:b/>
          <w:sz w:val="28"/>
          <w:szCs w:val="28"/>
        </w:rPr>
        <w:t>201</w:t>
      </w:r>
      <w:r w:rsidR="00B064F4" w:rsidRPr="00A36543">
        <w:rPr>
          <w:b/>
          <w:sz w:val="28"/>
          <w:szCs w:val="28"/>
        </w:rPr>
        <w:t>8</w:t>
      </w:r>
      <w:r w:rsidRPr="00A36543">
        <w:rPr>
          <w:b/>
          <w:sz w:val="28"/>
          <w:szCs w:val="28"/>
        </w:rPr>
        <w:t>.</w:t>
      </w:r>
      <w:r w:rsidR="00551FD6">
        <w:rPr>
          <w:b/>
          <w:sz w:val="28"/>
          <w:szCs w:val="28"/>
        </w:rPr>
        <w:t xml:space="preserve"> GODINE</w:t>
      </w:r>
    </w:p>
    <w:p w:rsidR="00BA6D1C" w:rsidRDefault="00BA6D1C" w:rsidP="00A36543">
      <w:pPr>
        <w:spacing w:line="276" w:lineRule="auto"/>
        <w:jc w:val="both"/>
      </w:pPr>
    </w:p>
    <w:p w:rsidR="008945C3" w:rsidRPr="000A0F07" w:rsidRDefault="008945C3" w:rsidP="00A36543">
      <w:pPr>
        <w:spacing w:line="276" w:lineRule="auto"/>
        <w:jc w:val="both"/>
      </w:pPr>
    </w:p>
    <w:p w:rsidR="00BA6D1C" w:rsidRPr="000A0F07" w:rsidRDefault="00BA6D1C" w:rsidP="00A36543">
      <w:pPr>
        <w:pStyle w:val="Uvuenotijeloteksta"/>
        <w:spacing w:line="276" w:lineRule="auto"/>
        <w:ind w:firstLine="0"/>
      </w:pPr>
      <w:r w:rsidRPr="000A0F07">
        <w:t>Hrvatski sabor je na temelju članka 29. Zakona o izvršavanju državnog proračuna Republike Hrvatske za 201</w:t>
      </w:r>
      <w:r w:rsidR="00B064F4">
        <w:t>8</w:t>
      </w:r>
      <w:r w:rsidRPr="000A0F07">
        <w:t>. godinu (Narodne novine, broj 1</w:t>
      </w:r>
      <w:r w:rsidR="00B064F4">
        <w:t>24</w:t>
      </w:r>
      <w:r w:rsidRPr="000A0F07">
        <w:t>/1</w:t>
      </w:r>
      <w:r w:rsidR="00B064F4">
        <w:t>7)</w:t>
      </w:r>
      <w:r w:rsidRPr="000A0F07">
        <w:t xml:space="preserve"> ovlastio Ministarstvo financija Republike Hrvatske da se u ime Republike Hrvatske može zadužiti na inozemnom i domaćem tržištu novca i kapitala do ukupnog iznosa od </w:t>
      </w:r>
      <w:r w:rsidR="00B064F4">
        <w:t>22.516.245.383</w:t>
      </w:r>
      <w:r w:rsidRPr="000A0F07">
        <w:t>,00 kuna iskazanog u Računu financiranja Proračuna.</w:t>
      </w:r>
      <w:r w:rsidR="00B064F4">
        <w:t xml:space="preserve"> </w:t>
      </w:r>
    </w:p>
    <w:p w:rsidR="002F6504" w:rsidRPr="000A0F07" w:rsidRDefault="002F6504" w:rsidP="00A36543">
      <w:pPr>
        <w:spacing w:before="240" w:line="276" w:lineRule="auto"/>
        <w:jc w:val="both"/>
      </w:pPr>
      <w:r w:rsidRPr="000A0F07">
        <w:t xml:space="preserve">Stanje obveza za vrijednosne papire, kredite i zajmove državnog proračuna </w:t>
      </w:r>
      <w:r w:rsidR="0091083A">
        <w:t>d</w:t>
      </w:r>
      <w:r w:rsidRPr="000A0F07">
        <w:t>ano je u tablici</w:t>
      </w:r>
      <w:r w:rsidR="000B0891" w:rsidRPr="000A0F07">
        <w:t xml:space="preserve"> </w:t>
      </w:r>
      <w:r w:rsidR="008B750B">
        <w:t>6</w:t>
      </w:r>
      <w:r w:rsidR="000B0891" w:rsidRPr="000A0F07">
        <w:t>.</w:t>
      </w:r>
      <w:r w:rsidRPr="000A0F07">
        <w:t xml:space="preserve"> Stanje obveza na dan 31.12.201</w:t>
      </w:r>
      <w:r w:rsidR="00356E77">
        <w:t>7</w:t>
      </w:r>
      <w:r w:rsidRPr="000A0F07">
        <w:t>. i 3</w:t>
      </w:r>
      <w:r w:rsidR="00356E77">
        <w:t>0.6.2018</w:t>
      </w:r>
      <w:r w:rsidR="00CC76B7" w:rsidRPr="000A0F07">
        <w:t>.</w:t>
      </w:r>
      <w:r w:rsidRPr="000A0F07">
        <w:t xml:space="preserve">, a u tablici </w:t>
      </w:r>
      <w:r w:rsidR="008B750B">
        <w:t>5</w:t>
      </w:r>
      <w:r w:rsidR="000B0891" w:rsidRPr="000A0F07">
        <w:t xml:space="preserve">. </w:t>
      </w:r>
      <w:r w:rsidRPr="000A0F07">
        <w:t xml:space="preserve">Projekcije otplata državnog duga dane su projekcije otplata glavnica državnog duga prema oblicima zaduženja u razdoblju </w:t>
      </w:r>
      <w:r w:rsidR="00CC76B7" w:rsidRPr="000A0F07">
        <w:t xml:space="preserve">od </w:t>
      </w:r>
      <w:r w:rsidRPr="000A0F07">
        <w:t>2018</w:t>
      </w:r>
      <w:r w:rsidR="00CC76B7" w:rsidRPr="000A0F07">
        <w:t>. do</w:t>
      </w:r>
      <w:r w:rsidRPr="000A0F07">
        <w:t xml:space="preserve"> 20</w:t>
      </w:r>
      <w:r w:rsidR="008B750B">
        <w:t>32</w:t>
      </w:r>
      <w:r w:rsidR="00A1020F" w:rsidRPr="000A0F07">
        <w:t>. godine.</w:t>
      </w:r>
    </w:p>
    <w:p w:rsidR="002F6504" w:rsidRPr="000A0F07" w:rsidRDefault="002F6504" w:rsidP="00C075DE">
      <w:pPr>
        <w:rPr>
          <w:b/>
          <w:u w:val="single"/>
        </w:rPr>
      </w:pPr>
    </w:p>
    <w:p w:rsidR="00BA6D1C" w:rsidRPr="000A0F07" w:rsidRDefault="00BA6D1C" w:rsidP="00E369A9">
      <w:pPr>
        <w:jc w:val="both"/>
      </w:pPr>
    </w:p>
    <w:p w:rsidR="00D96C08" w:rsidRPr="000A0F07" w:rsidRDefault="003C1F07" w:rsidP="00C83AB5">
      <w:pPr>
        <w:pStyle w:val="Odlomakpopisa"/>
        <w:numPr>
          <w:ilvl w:val="0"/>
          <w:numId w:val="5"/>
        </w:numPr>
        <w:spacing w:after="200" w:line="360" w:lineRule="auto"/>
        <w:jc w:val="both"/>
        <w:rPr>
          <w:b/>
          <w:i/>
        </w:rPr>
      </w:pPr>
      <w:proofErr w:type="spellStart"/>
      <w:r w:rsidRPr="000A0F07">
        <w:rPr>
          <w:b/>
          <w:i/>
        </w:rPr>
        <w:t>Euroobveznice</w:t>
      </w:r>
      <w:proofErr w:type="spellEnd"/>
      <w:r w:rsidRPr="000A0F07">
        <w:rPr>
          <w:b/>
          <w:i/>
        </w:rPr>
        <w:t xml:space="preserve"> na međunarodnom tržištu</w:t>
      </w:r>
    </w:p>
    <w:p w:rsidR="00C075DE" w:rsidRPr="00ED0475" w:rsidRDefault="00C075DE" w:rsidP="00A36543">
      <w:pPr>
        <w:spacing w:line="276" w:lineRule="auto"/>
        <w:jc w:val="both"/>
      </w:pPr>
      <w:r w:rsidRPr="00ED0475">
        <w:t xml:space="preserve">Republika Hrvatska se u </w:t>
      </w:r>
      <w:r w:rsidR="006261DB" w:rsidRPr="00ED0475">
        <w:t>lipnju</w:t>
      </w:r>
      <w:r w:rsidRPr="00ED0475">
        <w:t xml:space="preserve"> zadužila na međunarodnom financijskom tržištu izdavanjem </w:t>
      </w:r>
      <w:proofErr w:type="spellStart"/>
      <w:r w:rsidRPr="00ED0475">
        <w:t>euroobveznica</w:t>
      </w:r>
      <w:proofErr w:type="spellEnd"/>
      <w:r w:rsidRPr="00ED0475">
        <w:t xml:space="preserve"> u iznosu od </w:t>
      </w:r>
      <w:r w:rsidR="006261DB" w:rsidRPr="00ED0475">
        <w:t>750 milijuna</w:t>
      </w:r>
      <w:r w:rsidR="003C1F07" w:rsidRPr="00ED0475">
        <w:t xml:space="preserve"> </w:t>
      </w:r>
      <w:r w:rsidRPr="00ED0475">
        <w:t>eura</w:t>
      </w:r>
      <w:r w:rsidRPr="00ED0475">
        <w:rPr>
          <w:b/>
        </w:rPr>
        <w:t>.</w:t>
      </w:r>
      <w:r w:rsidRPr="00ED0475">
        <w:t xml:space="preserve"> Obveznice su izdane po cijeni od 98,3</w:t>
      </w:r>
      <w:r w:rsidR="006261DB" w:rsidRPr="00ED0475">
        <w:t>02</w:t>
      </w:r>
      <w:r w:rsidRPr="00ED0475">
        <w:t>% nominalnog iznosa</w:t>
      </w:r>
      <w:r w:rsidR="003C1F07" w:rsidRPr="00ED0475">
        <w:t xml:space="preserve"> uz nepromjenjivi ka</w:t>
      </w:r>
      <w:r w:rsidRPr="00ED0475">
        <w:t xml:space="preserve">matni kupon </w:t>
      </w:r>
      <w:r w:rsidR="003C1F07" w:rsidRPr="00ED0475">
        <w:t>od</w:t>
      </w:r>
      <w:r w:rsidRPr="00ED0475">
        <w:t xml:space="preserve"> </w:t>
      </w:r>
      <w:r w:rsidR="006261DB" w:rsidRPr="00ED0475">
        <w:t>2,70</w:t>
      </w:r>
      <w:r w:rsidRPr="00ED0475">
        <w:t>%</w:t>
      </w:r>
      <w:r w:rsidRPr="00ED0475">
        <w:rPr>
          <w:b/>
        </w:rPr>
        <w:t xml:space="preserve"> </w:t>
      </w:r>
      <w:r w:rsidRPr="00ED0475">
        <w:t>godišnje</w:t>
      </w:r>
      <w:r w:rsidR="001D6CBB" w:rsidRPr="00ED0475">
        <w:t>,</w:t>
      </w:r>
      <w:r w:rsidR="003C1F07" w:rsidRPr="00ED0475">
        <w:t xml:space="preserve"> što čini</w:t>
      </w:r>
      <w:r w:rsidRPr="00ED0475">
        <w:t xml:space="preserve"> prinos do dospijeća od </w:t>
      </w:r>
      <w:r w:rsidR="006261DB" w:rsidRPr="00ED0475">
        <w:t>2,</w:t>
      </w:r>
      <w:r w:rsidR="007E1FCE" w:rsidRPr="00ED0475">
        <w:t>89</w:t>
      </w:r>
      <w:r w:rsidR="006261DB" w:rsidRPr="00ED0475">
        <w:t>8</w:t>
      </w:r>
      <w:r w:rsidRPr="00ED0475">
        <w:t xml:space="preserve">%. Obveznice su uplaćene </w:t>
      </w:r>
      <w:r w:rsidR="006261DB" w:rsidRPr="00ED0475">
        <w:t>15</w:t>
      </w:r>
      <w:r w:rsidR="007E1FCE" w:rsidRPr="00ED0475">
        <w:t>.</w:t>
      </w:r>
      <w:r w:rsidR="006261DB" w:rsidRPr="00ED0475">
        <w:t xml:space="preserve"> lipnja</w:t>
      </w:r>
      <w:r w:rsidRPr="00ED0475">
        <w:t xml:space="preserve"> 201</w:t>
      </w:r>
      <w:r w:rsidR="006261DB" w:rsidRPr="00ED0475">
        <w:t>8</w:t>
      </w:r>
      <w:r w:rsidRPr="00ED0475">
        <w:t xml:space="preserve">., a datum dospijeća obveznica je </w:t>
      </w:r>
      <w:r w:rsidR="006261DB" w:rsidRPr="00ED0475">
        <w:t>15. lipnja</w:t>
      </w:r>
      <w:r w:rsidRPr="00ED0475">
        <w:t xml:space="preserve"> 202</w:t>
      </w:r>
      <w:r w:rsidR="006261DB" w:rsidRPr="00ED0475">
        <w:t>8</w:t>
      </w:r>
      <w:r w:rsidRPr="00ED0475">
        <w:t xml:space="preserve">. </w:t>
      </w:r>
      <w:r w:rsidR="007E1FCE" w:rsidRPr="00ED0475">
        <w:t>godine.</w:t>
      </w:r>
    </w:p>
    <w:p w:rsidR="00E643B9" w:rsidRDefault="00E643B9" w:rsidP="00A36543">
      <w:pPr>
        <w:spacing w:line="276" w:lineRule="auto"/>
        <w:jc w:val="both"/>
      </w:pPr>
    </w:p>
    <w:p w:rsidR="00C075DE" w:rsidRPr="003720DE" w:rsidRDefault="003720DE" w:rsidP="00A36543">
      <w:pPr>
        <w:spacing w:line="276" w:lineRule="auto"/>
        <w:jc w:val="both"/>
      </w:pPr>
      <w:r w:rsidRPr="003720DE">
        <w:t>Sredstva ostvarena ovim zaduženjem</w:t>
      </w:r>
      <w:r>
        <w:t xml:space="preserve"> koristit će se za otplatu međunarodnih obveznica u iznosu 750 milijuna eura, a koje dospijevaju 9. srpnja 2018. godine. Ove sedmogodišnje obveznice su izdane u srpnju 2011. godine uz kupon 5,875%.</w:t>
      </w:r>
    </w:p>
    <w:p w:rsidR="00C075DE" w:rsidRPr="000A0F07" w:rsidRDefault="00C075DE" w:rsidP="00C075DE">
      <w:pPr>
        <w:jc w:val="both"/>
      </w:pPr>
    </w:p>
    <w:p w:rsidR="00FC0425" w:rsidRPr="000A0F07" w:rsidRDefault="00FC0425" w:rsidP="00C075DE">
      <w:pPr>
        <w:jc w:val="both"/>
      </w:pPr>
    </w:p>
    <w:p w:rsidR="00C075DE" w:rsidRPr="000A0F07" w:rsidRDefault="00C075DE" w:rsidP="00C83AB5">
      <w:pPr>
        <w:pStyle w:val="Odlomakpopisa"/>
        <w:numPr>
          <w:ilvl w:val="0"/>
          <w:numId w:val="5"/>
        </w:numPr>
        <w:tabs>
          <w:tab w:val="left" w:pos="360"/>
        </w:tabs>
        <w:rPr>
          <w:b/>
          <w:i/>
        </w:rPr>
      </w:pPr>
      <w:r w:rsidRPr="000A0F07">
        <w:rPr>
          <w:b/>
          <w:i/>
        </w:rPr>
        <w:t xml:space="preserve">Zaduživanje </w:t>
      </w:r>
      <w:r w:rsidR="000378EF">
        <w:rPr>
          <w:b/>
          <w:i/>
        </w:rPr>
        <w:t xml:space="preserve">na domaćem tržištu </w:t>
      </w:r>
      <w:r w:rsidRPr="000A0F07">
        <w:rPr>
          <w:b/>
          <w:i/>
        </w:rPr>
        <w:t>putem dugoročnih kredita</w:t>
      </w:r>
      <w:r w:rsidR="000378EF">
        <w:rPr>
          <w:b/>
          <w:i/>
        </w:rPr>
        <w:t xml:space="preserve"> </w:t>
      </w:r>
    </w:p>
    <w:p w:rsidR="00C075DE" w:rsidRPr="000A0F07" w:rsidRDefault="00C075DE" w:rsidP="00C075DE">
      <w:pPr>
        <w:tabs>
          <w:tab w:val="left" w:pos="360"/>
        </w:tabs>
        <w:rPr>
          <w:b/>
        </w:rPr>
      </w:pPr>
    </w:p>
    <w:p w:rsidR="00C075DE" w:rsidRPr="00B054EF" w:rsidRDefault="001D6CBB" w:rsidP="00A36543">
      <w:pPr>
        <w:pStyle w:val="Odlomakpopisa"/>
        <w:numPr>
          <w:ilvl w:val="0"/>
          <w:numId w:val="4"/>
        </w:numPr>
        <w:tabs>
          <w:tab w:val="left" w:pos="360"/>
        </w:tabs>
        <w:spacing w:line="276" w:lineRule="auto"/>
      </w:pPr>
      <w:r w:rsidRPr="00B054EF">
        <w:t>K</w:t>
      </w:r>
      <w:r w:rsidR="00E7271F" w:rsidRPr="00B054EF">
        <w:t>redit</w:t>
      </w:r>
      <w:r w:rsidR="00C075DE" w:rsidRPr="00B054EF">
        <w:t xml:space="preserve">  u iznosu od </w:t>
      </w:r>
      <w:r w:rsidR="00ED0475" w:rsidRPr="00B054EF">
        <w:t>2</w:t>
      </w:r>
      <w:r w:rsidR="00C075DE" w:rsidRPr="00B054EF">
        <w:t>00</w:t>
      </w:r>
      <w:r w:rsidR="00E7271F" w:rsidRPr="00B054EF">
        <w:t xml:space="preserve"> milijuna eura</w:t>
      </w:r>
      <w:r w:rsidR="00C075DE" w:rsidRPr="00B054EF">
        <w:t xml:space="preserve"> </w:t>
      </w:r>
      <w:r w:rsidR="00ED0475" w:rsidRPr="00B054EF">
        <w:t>uz valutnu klauzulu</w:t>
      </w:r>
    </w:p>
    <w:p w:rsidR="00E643B9" w:rsidRPr="00F81770" w:rsidRDefault="00C075DE" w:rsidP="00A36543">
      <w:pPr>
        <w:tabs>
          <w:tab w:val="left" w:pos="360"/>
        </w:tabs>
        <w:spacing w:line="276" w:lineRule="auto"/>
        <w:jc w:val="both"/>
      </w:pPr>
      <w:r w:rsidRPr="00B054EF">
        <w:t xml:space="preserve">Republika Hrvatska se u </w:t>
      </w:r>
      <w:r w:rsidR="00ED0475" w:rsidRPr="00B054EF">
        <w:t>svibnju</w:t>
      </w:r>
      <w:r w:rsidRPr="00B054EF">
        <w:t xml:space="preserve"> zadužila na domaćem financijskom tržištu</w:t>
      </w:r>
      <w:r w:rsidR="001E1308" w:rsidRPr="00B054EF">
        <w:t xml:space="preserve"> u kun</w:t>
      </w:r>
      <w:r w:rsidR="00153FC4" w:rsidRPr="00B054EF">
        <w:t>skoj protuvrijednosti</w:t>
      </w:r>
      <w:r w:rsidRPr="00B054EF">
        <w:t xml:space="preserve"> iznos</w:t>
      </w:r>
      <w:r w:rsidR="00153FC4" w:rsidRPr="00B054EF">
        <w:t>a</w:t>
      </w:r>
      <w:r w:rsidRPr="00B054EF">
        <w:t xml:space="preserve"> od </w:t>
      </w:r>
      <w:r w:rsidR="00ED0475" w:rsidRPr="00B054EF">
        <w:t>2</w:t>
      </w:r>
      <w:r w:rsidRPr="00B054EF">
        <w:t>00</w:t>
      </w:r>
      <w:r w:rsidR="00E7271F" w:rsidRPr="00B054EF">
        <w:t xml:space="preserve"> milijuna</w:t>
      </w:r>
      <w:r w:rsidRPr="00B054EF">
        <w:t xml:space="preserve"> eura uz kamatnu stopu u visini </w:t>
      </w:r>
      <w:r w:rsidR="00ED0475" w:rsidRPr="00B054EF">
        <w:t>6</w:t>
      </w:r>
      <w:r w:rsidRPr="00B054EF">
        <w:t xml:space="preserve">-mjesečnog EURIBOR-a + </w:t>
      </w:r>
      <w:r w:rsidR="00ED0475" w:rsidRPr="00B054EF">
        <w:t>1</w:t>
      </w:r>
      <w:r w:rsidRPr="00B054EF">
        <w:t>,</w:t>
      </w:r>
      <w:r w:rsidR="00ED0475" w:rsidRPr="00B054EF">
        <w:t>19</w:t>
      </w:r>
      <w:r w:rsidRPr="00B054EF">
        <w:t xml:space="preserve">% godišnje. </w:t>
      </w:r>
      <w:r w:rsidRPr="00F81770">
        <w:t xml:space="preserve">Glavnica će se otplatiti jednokratno </w:t>
      </w:r>
      <w:r w:rsidR="00153FC4" w:rsidRPr="00F81770">
        <w:t>30. lipnja</w:t>
      </w:r>
      <w:r w:rsidRPr="00F81770">
        <w:t xml:space="preserve"> 202</w:t>
      </w:r>
      <w:r w:rsidR="00153FC4" w:rsidRPr="00F81770">
        <w:t>3</w:t>
      </w:r>
      <w:r w:rsidRPr="00F81770">
        <w:t xml:space="preserve">. </w:t>
      </w:r>
    </w:p>
    <w:p w:rsidR="00C075DE" w:rsidRPr="00F81770" w:rsidRDefault="00E7271F" w:rsidP="00A36543">
      <w:pPr>
        <w:pStyle w:val="Odlomakpopisa"/>
        <w:numPr>
          <w:ilvl w:val="0"/>
          <w:numId w:val="4"/>
        </w:numPr>
        <w:tabs>
          <w:tab w:val="left" w:pos="360"/>
        </w:tabs>
        <w:spacing w:line="276" w:lineRule="auto"/>
      </w:pPr>
      <w:r w:rsidRPr="00F81770">
        <w:t xml:space="preserve">Kredit </w:t>
      </w:r>
      <w:r w:rsidR="00C075DE" w:rsidRPr="00F81770">
        <w:t xml:space="preserve">u iznosu od </w:t>
      </w:r>
      <w:r w:rsidR="00226442">
        <w:t>1</w:t>
      </w:r>
      <w:r w:rsidR="00F81770" w:rsidRPr="00F81770">
        <w:t>00 milijuna eura uz valutnu klauzulu</w:t>
      </w:r>
      <w:r w:rsidRPr="00F81770">
        <w:t xml:space="preserve"> </w:t>
      </w:r>
    </w:p>
    <w:p w:rsidR="00E643B9" w:rsidRPr="00A36543" w:rsidRDefault="00C075DE" w:rsidP="00A36543">
      <w:pPr>
        <w:tabs>
          <w:tab w:val="left" w:pos="360"/>
        </w:tabs>
        <w:spacing w:line="276" w:lineRule="auto"/>
        <w:jc w:val="both"/>
      </w:pPr>
      <w:r w:rsidRPr="00F81770">
        <w:t xml:space="preserve">Republika Hrvatska se </w:t>
      </w:r>
      <w:r w:rsidR="00F81770" w:rsidRPr="00F81770">
        <w:t xml:space="preserve">u svibnju zadužila </w:t>
      </w:r>
      <w:r w:rsidR="00F81770" w:rsidRPr="00B054EF">
        <w:t xml:space="preserve">na domaćem financijskom tržištu u kunskoj protuvrijednosti iznosa od </w:t>
      </w:r>
      <w:r w:rsidR="00F81770">
        <w:t>1</w:t>
      </w:r>
      <w:r w:rsidR="00F81770" w:rsidRPr="00B054EF">
        <w:t>00 milijuna eura uz kamatnu stopu u visini 6-mjesečnog EURIBOR-a + 1,</w:t>
      </w:r>
      <w:r w:rsidR="00F81770">
        <w:t>0</w:t>
      </w:r>
      <w:r w:rsidR="00F81770" w:rsidRPr="00B054EF">
        <w:t>9% godišnje.</w:t>
      </w:r>
      <w:r w:rsidR="00F81770">
        <w:t xml:space="preserve"> Glavnica će se otplatiti u devet polugodišnjih rata</w:t>
      </w:r>
      <w:r w:rsidR="00C8378F">
        <w:t xml:space="preserve"> od kojih prva  dospijeva 20. prosinca 2019. godine, a posljednja 20. prosinca 2023. Prvih sedam rata je u kunskoj protuvrijednosti iznosa od 5 milijuna eura, osma rata je u kunskoj protuvrijednosti iznosa od 30 milijuna eura te deveta u kunskoj protuvrijednosti iznosa od 35 milijuna eura.</w:t>
      </w:r>
    </w:p>
    <w:p w:rsidR="006C4DB0" w:rsidRPr="00F81770" w:rsidRDefault="00540102" w:rsidP="00A36543">
      <w:pPr>
        <w:pStyle w:val="Odlomakpopisa"/>
        <w:numPr>
          <w:ilvl w:val="0"/>
          <w:numId w:val="4"/>
        </w:numPr>
        <w:tabs>
          <w:tab w:val="left" w:pos="360"/>
        </w:tabs>
        <w:spacing w:line="276" w:lineRule="auto"/>
      </w:pPr>
      <w:r w:rsidRPr="006C4DB0">
        <w:t>Kredit</w:t>
      </w:r>
      <w:r w:rsidR="001D6CBB" w:rsidRPr="006C4DB0">
        <w:t xml:space="preserve"> </w:t>
      </w:r>
      <w:r w:rsidRPr="006C4DB0">
        <w:t xml:space="preserve">u iznosu </w:t>
      </w:r>
      <w:r w:rsidR="006C4DB0" w:rsidRPr="006C4DB0">
        <w:t xml:space="preserve"> od </w:t>
      </w:r>
      <w:r w:rsidR="006C4DB0">
        <w:t>12</w:t>
      </w:r>
      <w:r w:rsidR="006C4DB0" w:rsidRPr="00F81770">
        <w:t xml:space="preserve">0 milijuna eura uz valutnu klauzulu </w:t>
      </w:r>
    </w:p>
    <w:p w:rsidR="00540102" w:rsidRDefault="00C075DE" w:rsidP="00A36543">
      <w:pPr>
        <w:tabs>
          <w:tab w:val="left" w:pos="360"/>
        </w:tabs>
        <w:spacing w:line="276" w:lineRule="auto"/>
        <w:jc w:val="both"/>
      </w:pPr>
      <w:r w:rsidRPr="006C4DB0">
        <w:lastRenderedPageBreak/>
        <w:t xml:space="preserve">Republika Hrvatska se </w:t>
      </w:r>
      <w:r w:rsidR="006C4DB0" w:rsidRPr="006C4DB0">
        <w:t xml:space="preserve">u </w:t>
      </w:r>
      <w:r w:rsidR="006C4DB0" w:rsidRPr="00B054EF">
        <w:t xml:space="preserve">svibnju zadužila na domaćem financijskom tržištu u kunskoj protuvrijednosti iznosa od </w:t>
      </w:r>
      <w:r w:rsidR="006C4DB0">
        <w:t>12</w:t>
      </w:r>
      <w:r w:rsidR="006C4DB0" w:rsidRPr="00B054EF">
        <w:t xml:space="preserve">0 milijuna eura uz kamatnu stopu u visini </w:t>
      </w:r>
      <w:r w:rsidR="006C4DB0">
        <w:t>3</w:t>
      </w:r>
      <w:r w:rsidR="006C4DB0" w:rsidRPr="00B054EF">
        <w:t xml:space="preserve">-mjesečnog EURIBOR-a + </w:t>
      </w:r>
      <w:r w:rsidR="00231F82">
        <w:t>0,85</w:t>
      </w:r>
      <w:r w:rsidR="006C4DB0" w:rsidRPr="00B054EF">
        <w:t xml:space="preserve">% godišnje. </w:t>
      </w:r>
      <w:r w:rsidR="006C4DB0" w:rsidRPr="00F81770">
        <w:t xml:space="preserve">Glavnica će se otplatiti jednokratno </w:t>
      </w:r>
      <w:r w:rsidR="00382542">
        <w:t>23</w:t>
      </w:r>
      <w:r w:rsidR="006C4DB0" w:rsidRPr="00F81770">
        <w:t xml:space="preserve">. </w:t>
      </w:r>
      <w:r w:rsidR="00382542">
        <w:t>svibnja</w:t>
      </w:r>
      <w:r w:rsidR="006C4DB0" w:rsidRPr="00F81770">
        <w:t xml:space="preserve"> 2023. </w:t>
      </w:r>
    </w:p>
    <w:p w:rsidR="00551FD6" w:rsidRPr="00A36543" w:rsidRDefault="00551FD6" w:rsidP="00A36543">
      <w:pPr>
        <w:tabs>
          <w:tab w:val="left" w:pos="360"/>
        </w:tabs>
        <w:spacing w:line="276" w:lineRule="auto"/>
        <w:jc w:val="both"/>
      </w:pPr>
    </w:p>
    <w:p w:rsidR="00C075DE" w:rsidRPr="000A0F07" w:rsidRDefault="00C075DE" w:rsidP="00C83AB5">
      <w:pPr>
        <w:pStyle w:val="Odlomakpopisa"/>
        <w:numPr>
          <w:ilvl w:val="0"/>
          <w:numId w:val="5"/>
        </w:numPr>
        <w:jc w:val="both"/>
        <w:rPr>
          <w:b/>
          <w:i/>
          <w:snapToGrid w:val="0"/>
          <w:lang w:eastAsia="en-US"/>
        </w:rPr>
      </w:pPr>
      <w:r w:rsidRPr="000A0F07">
        <w:rPr>
          <w:b/>
          <w:i/>
          <w:snapToGrid w:val="0"/>
          <w:lang w:eastAsia="en-US"/>
        </w:rPr>
        <w:t>Zaduživanje putem izdavanja trezorskih zapisa</w:t>
      </w:r>
      <w:r w:rsidR="005E70CF" w:rsidRPr="000A0F07">
        <w:rPr>
          <w:b/>
          <w:i/>
          <w:snapToGrid w:val="0"/>
          <w:lang w:eastAsia="en-US"/>
        </w:rPr>
        <w:t xml:space="preserve"> </w:t>
      </w:r>
    </w:p>
    <w:p w:rsidR="00C075DE" w:rsidRPr="000A0F07" w:rsidRDefault="00C075DE" w:rsidP="00C075DE">
      <w:pPr>
        <w:jc w:val="both"/>
        <w:rPr>
          <w:snapToGrid w:val="0"/>
          <w:color w:val="FF0000"/>
          <w:lang w:eastAsia="en-US"/>
        </w:rPr>
      </w:pPr>
    </w:p>
    <w:p w:rsidR="00C075DE" w:rsidRPr="008235FE" w:rsidRDefault="00C075DE" w:rsidP="00A36543">
      <w:pPr>
        <w:spacing w:line="276" w:lineRule="auto"/>
        <w:jc w:val="both"/>
        <w:rPr>
          <w:snapToGrid w:val="0"/>
          <w:lang w:eastAsia="en-US"/>
        </w:rPr>
      </w:pPr>
      <w:r w:rsidRPr="008235FE">
        <w:rPr>
          <w:snapToGrid w:val="0"/>
          <w:lang w:eastAsia="en-US"/>
        </w:rPr>
        <w:t xml:space="preserve">Ministarstvo financija provodi aukcije trezorskih zapisa u skladu s Pravilima i uvjetima aukcija trezorskih zapisa, koristeći se elektroničkim aukcijskim sustavom </w:t>
      </w:r>
      <w:proofErr w:type="spellStart"/>
      <w:r w:rsidRPr="008235FE">
        <w:rPr>
          <w:snapToGrid w:val="0"/>
          <w:lang w:eastAsia="en-US"/>
        </w:rPr>
        <w:t>Bloomberg</w:t>
      </w:r>
      <w:proofErr w:type="spellEnd"/>
      <w:r w:rsidRPr="008235FE">
        <w:rPr>
          <w:snapToGrid w:val="0"/>
          <w:lang w:eastAsia="en-US"/>
        </w:rPr>
        <w:t xml:space="preserve"> (BAS). </w:t>
      </w:r>
    </w:p>
    <w:p w:rsidR="00C075DE" w:rsidRPr="003229F4" w:rsidRDefault="00EC07D1" w:rsidP="00A36543">
      <w:pPr>
        <w:spacing w:line="276" w:lineRule="auto"/>
        <w:jc w:val="both"/>
      </w:pPr>
      <w:r w:rsidRPr="008235FE">
        <w:t>U  201</w:t>
      </w:r>
      <w:r w:rsidR="008235FE" w:rsidRPr="008235FE">
        <w:t>8</w:t>
      </w:r>
      <w:r w:rsidRPr="008235FE">
        <w:t>. godini</w:t>
      </w:r>
      <w:r w:rsidR="00C075DE" w:rsidRPr="008235FE">
        <w:t xml:space="preserve"> održano je </w:t>
      </w:r>
      <w:r w:rsidR="008235FE" w:rsidRPr="008235FE">
        <w:t>15</w:t>
      </w:r>
      <w:r w:rsidR="00C075DE" w:rsidRPr="008235FE">
        <w:t xml:space="preserve"> aukcija trezorskih zapisa na kojima je bilo ukupno </w:t>
      </w:r>
      <w:r w:rsidR="008235FE" w:rsidRPr="008235FE">
        <w:t>17</w:t>
      </w:r>
      <w:r w:rsidR="00C075DE" w:rsidRPr="008235FE">
        <w:t xml:space="preserve"> izdanja, od čega </w:t>
      </w:r>
      <w:r w:rsidR="008235FE" w:rsidRPr="008235FE">
        <w:t>16</w:t>
      </w:r>
      <w:r w:rsidR="00C075DE" w:rsidRPr="008235FE">
        <w:t xml:space="preserve"> kunskih izdanja, </w:t>
      </w:r>
      <w:r w:rsidR="008235FE" w:rsidRPr="008235FE">
        <w:t>1</w:t>
      </w:r>
      <w:r w:rsidR="00C075DE" w:rsidRPr="008235FE">
        <w:t xml:space="preserve"> izdanja trezorskih zapisa izraženih u eurima a plativih u kunama</w:t>
      </w:r>
      <w:r w:rsidR="008235FE" w:rsidRPr="008235FE">
        <w:t>.</w:t>
      </w:r>
      <w:r w:rsidR="00C075DE" w:rsidRPr="008235FE">
        <w:t xml:space="preserve"> </w:t>
      </w:r>
      <w:r w:rsidR="00C075DE" w:rsidRPr="003229F4">
        <w:t xml:space="preserve">Kod kunskih izdanja trezorskih zapisa 1 izdanje je bilo na </w:t>
      </w:r>
      <w:r w:rsidR="003229F4" w:rsidRPr="003229F4">
        <w:t>182</w:t>
      </w:r>
      <w:r w:rsidR="00C075DE" w:rsidRPr="003229F4">
        <w:t xml:space="preserve"> dan</w:t>
      </w:r>
      <w:r w:rsidR="003229F4" w:rsidRPr="003229F4">
        <w:t>a</w:t>
      </w:r>
      <w:r w:rsidR="00C075DE" w:rsidRPr="003229F4">
        <w:t xml:space="preserve"> i 1</w:t>
      </w:r>
      <w:r w:rsidR="003229F4" w:rsidRPr="003229F4">
        <w:t>5</w:t>
      </w:r>
      <w:r w:rsidR="00C075DE" w:rsidRPr="003229F4">
        <w:t xml:space="preserve"> izdanja na 364 dana. Kod trezorskih zapisa izraženih u eurima a plativih u kunama</w:t>
      </w:r>
      <w:r w:rsidR="003229F4" w:rsidRPr="003229F4">
        <w:t xml:space="preserve"> jed</w:t>
      </w:r>
      <w:r w:rsidR="00131A63">
        <w:t>i</w:t>
      </w:r>
      <w:r w:rsidR="003229F4" w:rsidRPr="003229F4">
        <w:t>no</w:t>
      </w:r>
      <w:r w:rsidR="00C075DE" w:rsidRPr="003229F4">
        <w:t xml:space="preserve"> izdanj</w:t>
      </w:r>
      <w:r w:rsidR="003229F4" w:rsidRPr="003229F4">
        <w:t>e je bilo</w:t>
      </w:r>
      <w:r w:rsidR="00C075DE" w:rsidRPr="003229F4">
        <w:t xml:space="preserve"> na </w:t>
      </w:r>
      <w:r w:rsidR="00131A63">
        <w:t xml:space="preserve">rok od </w:t>
      </w:r>
      <w:r w:rsidR="00C075DE" w:rsidRPr="003229F4">
        <w:t>364 dana</w:t>
      </w:r>
      <w:r w:rsidR="003229F4" w:rsidRPr="003229F4">
        <w:t>.</w:t>
      </w:r>
      <w:r w:rsidR="00C075DE" w:rsidRPr="003229F4">
        <w:t xml:space="preserve"> </w:t>
      </w:r>
    </w:p>
    <w:p w:rsidR="00C075DE" w:rsidRPr="000A0F07" w:rsidRDefault="00C075DE" w:rsidP="00C075DE"/>
    <w:p w:rsidR="003146B4" w:rsidRPr="00A36543" w:rsidRDefault="003146B4" w:rsidP="003146B4">
      <w:pPr>
        <w:pStyle w:val="Opisslike"/>
        <w:keepNext/>
        <w:rPr>
          <w:i/>
          <w:color w:val="auto"/>
          <w:sz w:val="24"/>
          <w:szCs w:val="24"/>
        </w:rPr>
      </w:pPr>
      <w:r w:rsidRPr="00A36543">
        <w:rPr>
          <w:i/>
          <w:color w:val="auto"/>
          <w:sz w:val="24"/>
          <w:szCs w:val="24"/>
        </w:rPr>
        <w:t xml:space="preserve">Tablica </w:t>
      </w:r>
      <w:r w:rsidRPr="00A36543">
        <w:rPr>
          <w:i/>
          <w:color w:val="auto"/>
          <w:sz w:val="24"/>
          <w:szCs w:val="24"/>
        </w:rPr>
        <w:fldChar w:fldCharType="begin"/>
      </w:r>
      <w:r w:rsidRPr="00A36543">
        <w:rPr>
          <w:i/>
          <w:color w:val="auto"/>
          <w:sz w:val="24"/>
          <w:szCs w:val="24"/>
        </w:rPr>
        <w:instrText xml:space="preserve"> SEQ Tablica \* ARABIC </w:instrText>
      </w:r>
      <w:r w:rsidRPr="00A36543">
        <w:rPr>
          <w:i/>
          <w:color w:val="auto"/>
          <w:sz w:val="24"/>
          <w:szCs w:val="24"/>
        </w:rPr>
        <w:fldChar w:fldCharType="separate"/>
      </w:r>
      <w:r w:rsidR="00551FD6">
        <w:rPr>
          <w:i/>
          <w:noProof/>
          <w:color w:val="auto"/>
          <w:sz w:val="24"/>
          <w:szCs w:val="24"/>
        </w:rPr>
        <w:t>1</w:t>
      </w:r>
      <w:r w:rsidRPr="00A36543">
        <w:rPr>
          <w:i/>
          <w:color w:val="auto"/>
          <w:sz w:val="24"/>
          <w:szCs w:val="24"/>
        </w:rPr>
        <w:fldChar w:fldCharType="end"/>
      </w:r>
      <w:r w:rsidRPr="00A36543">
        <w:rPr>
          <w:i/>
          <w:color w:val="auto"/>
          <w:sz w:val="24"/>
          <w:szCs w:val="24"/>
        </w:rPr>
        <w:t>. Struktura trezorskih zapisa na dan 31. prosinca 201</w:t>
      </w:r>
      <w:r w:rsidR="00786970" w:rsidRPr="00A36543">
        <w:rPr>
          <w:i/>
          <w:color w:val="auto"/>
          <w:sz w:val="24"/>
          <w:szCs w:val="24"/>
        </w:rPr>
        <w:t>7</w:t>
      </w:r>
      <w:r w:rsidRPr="00A36543">
        <w:rPr>
          <w:i/>
          <w:color w:val="auto"/>
          <w:sz w:val="24"/>
          <w:szCs w:val="24"/>
        </w:rPr>
        <w:t>. i 3</w:t>
      </w:r>
      <w:r w:rsidR="00786970" w:rsidRPr="00A36543">
        <w:rPr>
          <w:i/>
          <w:color w:val="auto"/>
          <w:sz w:val="24"/>
          <w:szCs w:val="24"/>
        </w:rPr>
        <w:t>0. lipnja</w:t>
      </w:r>
      <w:r w:rsidRPr="00A36543">
        <w:rPr>
          <w:i/>
          <w:color w:val="auto"/>
          <w:sz w:val="24"/>
          <w:szCs w:val="24"/>
        </w:rPr>
        <w:t xml:space="preserve"> 201</w:t>
      </w:r>
      <w:r w:rsidR="00786970" w:rsidRPr="00A36543">
        <w:rPr>
          <w:i/>
          <w:color w:val="auto"/>
          <w:sz w:val="24"/>
          <w:szCs w:val="24"/>
        </w:rPr>
        <w:t>8</w:t>
      </w:r>
      <w:r w:rsidRPr="00A36543">
        <w:rPr>
          <w:i/>
          <w:color w:val="auto"/>
          <w:sz w:val="24"/>
          <w:szCs w:val="24"/>
        </w:rPr>
        <w:t>.</w:t>
      </w:r>
    </w:p>
    <w:p w:rsidR="00F466C7" w:rsidRDefault="00F466C7" w:rsidP="00F466C7">
      <w:r w:rsidRPr="005D5ADE">
        <w:rPr>
          <w:noProof/>
        </w:rPr>
        <w:drawing>
          <wp:inline distT="0" distB="0" distL="0" distR="0" wp14:anchorId="22353179" wp14:editId="6DB7B0D1">
            <wp:extent cx="5760720" cy="133477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C7" w:rsidRPr="00F466C7" w:rsidRDefault="00F466C7" w:rsidP="00F466C7"/>
    <w:p w:rsidR="00A1020F" w:rsidRPr="000A0F07" w:rsidRDefault="00A1020F" w:rsidP="00C075DE">
      <w:pPr>
        <w:tabs>
          <w:tab w:val="left" w:pos="360"/>
        </w:tabs>
        <w:jc w:val="both"/>
      </w:pPr>
    </w:p>
    <w:p w:rsidR="00C075DE" w:rsidRPr="003229F4" w:rsidRDefault="00C075DE" w:rsidP="00A36543">
      <w:pPr>
        <w:tabs>
          <w:tab w:val="left" w:pos="360"/>
        </w:tabs>
        <w:spacing w:line="276" w:lineRule="auto"/>
        <w:jc w:val="both"/>
      </w:pPr>
      <w:r w:rsidRPr="003229F4">
        <w:t xml:space="preserve">Do </w:t>
      </w:r>
      <w:r w:rsidR="003229F4" w:rsidRPr="003229F4">
        <w:t>30. lipnja</w:t>
      </w:r>
      <w:r w:rsidRPr="003229F4">
        <w:t xml:space="preserve"> 201</w:t>
      </w:r>
      <w:r w:rsidR="003229F4" w:rsidRPr="003229F4">
        <w:t>8</w:t>
      </w:r>
      <w:r w:rsidRPr="003229F4">
        <w:t xml:space="preserve">. godine na aukcijama trezorskih zapisa izdano je ukupno </w:t>
      </w:r>
      <w:r w:rsidR="003229F4" w:rsidRPr="003229F4">
        <w:t>13,332</w:t>
      </w:r>
      <w:r w:rsidRPr="003229F4">
        <w:t xml:space="preserve"> milijardi kuna i </w:t>
      </w:r>
      <w:r w:rsidR="003229F4" w:rsidRPr="003229F4">
        <w:t>28</w:t>
      </w:r>
      <w:r w:rsidRPr="003229F4">
        <w:t xml:space="preserve"> milijuna eura (plativih u kunama) trezorskih zapisa. Istodobno je iskupljeno 1</w:t>
      </w:r>
      <w:r w:rsidR="003229F4" w:rsidRPr="003229F4">
        <w:t>1,975</w:t>
      </w:r>
      <w:r w:rsidRPr="003229F4">
        <w:t xml:space="preserve"> mili</w:t>
      </w:r>
      <w:r w:rsidR="00A1020F" w:rsidRPr="003229F4">
        <w:t xml:space="preserve">jardi kuna i </w:t>
      </w:r>
      <w:r w:rsidR="003229F4" w:rsidRPr="003229F4">
        <w:t>20</w:t>
      </w:r>
      <w:r w:rsidR="00A1020F" w:rsidRPr="003229F4">
        <w:t xml:space="preserve"> milijun eura (</w:t>
      </w:r>
      <w:r w:rsidRPr="003229F4">
        <w:t xml:space="preserve">plativih u kunama) trezorskih zapisa. Stanje ukupno upisanih trezorskih zapisa </w:t>
      </w:r>
      <w:r w:rsidR="003229F4" w:rsidRPr="003229F4">
        <w:t>povećalo se</w:t>
      </w:r>
      <w:r w:rsidRPr="003229F4">
        <w:t xml:space="preserve"> sa 28,</w:t>
      </w:r>
      <w:r w:rsidR="003229F4" w:rsidRPr="003229F4">
        <w:t>7</w:t>
      </w:r>
      <w:r w:rsidRPr="003229F4">
        <w:t xml:space="preserve"> milijarde kuna, koliko je iznosilo potkraj 201</w:t>
      </w:r>
      <w:r w:rsidR="003229F4" w:rsidRPr="003229F4">
        <w:t>7</w:t>
      </w:r>
      <w:r w:rsidRPr="003229F4">
        <w:t>. godine, na 2</w:t>
      </w:r>
      <w:r w:rsidR="003229F4" w:rsidRPr="003229F4">
        <w:t>9,9</w:t>
      </w:r>
      <w:r w:rsidRPr="003229F4">
        <w:t xml:space="preserve"> milijardi kuna, koliko je iznosilo na </w:t>
      </w:r>
      <w:r w:rsidR="003229F4" w:rsidRPr="003229F4">
        <w:t>potkraj lipnja</w:t>
      </w:r>
      <w:r w:rsidRPr="003229F4">
        <w:t xml:space="preserve"> 201</w:t>
      </w:r>
      <w:r w:rsidR="003229F4" w:rsidRPr="003229F4">
        <w:t>8</w:t>
      </w:r>
      <w:r w:rsidRPr="003229F4">
        <w:t>. godine. Struktura  i ukupan iznos upisanih trezorskih zapisana na dan 31. prosinca 201</w:t>
      </w:r>
      <w:r w:rsidR="003229F4" w:rsidRPr="003229F4">
        <w:t>7</w:t>
      </w:r>
      <w:r w:rsidRPr="003229F4">
        <w:t xml:space="preserve">. i </w:t>
      </w:r>
      <w:r w:rsidR="003229F4" w:rsidRPr="003229F4">
        <w:t xml:space="preserve">30. lipnja </w:t>
      </w:r>
      <w:r w:rsidRPr="003229F4">
        <w:t>201</w:t>
      </w:r>
      <w:r w:rsidR="003229F4" w:rsidRPr="003229F4">
        <w:t>8</w:t>
      </w:r>
      <w:r w:rsidRPr="003229F4">
        <w:t>. godine prikazano je u tablici 1.</w:t>
      </w:r>
    </w:p>
    <w:p w:rsidR="00C075DE" w:rsidRPr="000378EF" w:rsidRDefault="00C075DE" w:rsidP="00A36543">
      <w:pPr>
        <w:spacing w:line="276" w:lineRule="auto"/>
        <w:rPr>
          <w:color w:val="FF0000"/>
        </w:rPr>
      </w:pPr>
    </w:p>
    <w:p w:rsidR="00C075DE" w:rsidRPr="00610063" w:rsidRDefault="00C075DE" w:rsidP="00A36543">
      <w:pPr>
        <w:spacing w:line="276" w:lineRule="auto"/>
        <w:jc w:val="both"/>
      </w:pPr>
      <w:r w:rsidRPr="00610063">
        <w:t>Tijekom 201</w:t>
      </w:r>
      <w:r w:rsidR="003229F4" w:rsidRPr="00610063">
        <w:t>8</w:t>
      </w:r>
      <w:r w:rsidRPr="00610063">
        <w:t>. godine kamatne stope na trezorske zapise su se smanjile u odnosu na kraj 201</w:t>
      </w:r>
      <w:r w:rsidR="00610063" w:rsidRPr="00610063">
        <w:t>7</w:t>
      </w:r>
      <w:r w:rsidRPr="00610063">
        <w:t>. godine. Kamatne stope na trezorske zapise u kunama s rokom od 364 dana sm</w:t>
      </w:r>
      <w:r w:rsidR="00610063" w:rsidRPr="00610063">
        <w:t>anjile sa 0,20 na 0,09</w:t>
      </w:r>
      <w:r w:rsidR="00A1020F" w:rsidRPr="00610063">
        <w:t xml:space="preserve"> posto. </w:t>
      </w:r>
      <w:r w:rsidRPr="00610063">
        <w:t xml:space="preserve"> Kunsk</w:t>
      </w:r>
      <w:r w:rsidR="00610063" w:rsidRPr="00610063">
        <w:t>o</w:t>
      </w:r>
      <w:r w:rsidRPr="00610063">
        <w:t xml:space="preserve"> izdanje trezorskih zapisa s rokom od 182 dana bil</w:t>
      </w:r>
      <w:r w:rsidR="00610063" w:rsidRPr="00610063">
        <w:t>o je u lipnju</w:t>
      </w:r>
      <w:r w:rsidRPr="00610063">
        <w:t xml:space="preserve">  kada je kamata iznosila 0,</w:t>
      </w:r>
      <w:r w:rsidR="00610063" w:rsidRPr="00610063">
        <w:t>06</w:t>
      </w:r>
      <w:r w:rsidRPr="00610063">
        <w:t xml:space="preserve"> posto dok je potkraj 201</w:t>
      </w:r>
      <w:r w:rsidR="00610063" w:rsidRPr="00610063">
        <w:t>7</w:t>
      </w:r>
      <w:r w:rsidRPr="00610063">
        <w:t>. godine bila 0,</w:t>
      </w:r>
      <w:r w:rsidR="00610063" w:rsidRPr="00610063">
        <w:t>25</w:t>
      </w:r>
      <w:r w:rsidRPr="00610063">
        <w:t xml:space="preserve"> posto. Kamatne stope na trezorske zapise s valutnom klauzulom s rokom od 364 dana smanjile sa 0,0</w:t>
      </w:r>
      <w:r w:rsidR="00610063" w:rsidRPr="00610063">
        <w:t>1</w:t>
      </w:r>
      <w:r w:rsidRPr="00610063">
        <w:t xml:space="preserve"> na 0,0</w:t>
      </w:r>
      <w:r w:rsidR="00610063" w:rsidRPr="00610063">
        <w:t>0</w:t>
      </w:r>
      <w:r w:rsidRPr="00610063">
        <w:t xml:space="preserve"> post</w:t>
      </w:r>
      <w:r w:rsidR="00B55C7D">
        <w:t>o.</w:t>
      </w:r>
    </w:p>
    <w:p w:rsidR="00610063" w:rsidRPr="000378EF" w:rsidRDefault="00610063" w:rsidP="00C075DE">
      <w:pPr>
        <w:jc w:val="both"/>
        <w:rPr>
          <w:color w:val="FF0000"/>
        </w:rPr>
      </w:pPr>
    </w:p>
    <w:p w:rsidR="003146B4" w:rsidRPr="00A36543" w:rsidRDefault="003146B4" w:rsidP="003146B4">
      <w:pPr>
        <w:pStyle w:val="Opisslike"/>
        <w:keepNext/>
        <w:rPr>
          <w:i/>
          <w:color w:val="auto"/>
          <w:sz w:val="24"/>
          <w:szCs w:val="24"/>
        </w:rPr>
      </w:pPr>
      <w:r w:rsidRPr="00A36543">
        <w:rPr>
          <w:i/>
          <w:color w:val="auto"/>
          <w:sz w:val="24"/>
          <w:szCs w:val="24"/>
        </w:rPr>
        <w:t xml:space="preserve">Tablica </w:t>
      </w:r>
      <w:r w:rsidRPr="00A36543">
        <w:rPr>
          <w:i/>
          <w:color w:val="auto"/>
          <w:sz w:val="24"/>
          <w:szCs w:val="24"/>
        </w:rPr>
        <w:fldChar w:fldCharType="begin"/>
      </w:r>
      <w:r w:rsidRPr="00A36543">
        <w:rPr>
          <w:i/>
          <w:color w:val="auto"/>
          <w:sz w:val="24"/>
          <w:szCs w:val="24"/>
        </w:rPr>
        <w:instrText xml:space="preserve"> SEQ Tablica \* ARABIC </w:instrText>
      </w:r>
      <w:r w:rsidRPr="00A36543">
        <w:rPr>
          <w:i/>
          <w:color w:val="auto"/>
          <w:sz w:val="24"/>
          <w:szCs w:val="24"/>
        </w:rPr>
        <w:fldChar w:fldCharType="separate"/>
      </w:r>
      <w:r w:rsidR="00551FD6">
        <w:rPr>
          <w:i/>
          <w:noProof/>
          <w:color w:val="auto"/>
          <w:sz w:val="24"/>
          <w:szCs w:val="24"/>
        </w:rPr>
        <w:t>2</w:t>
      </w:r>
      <w:r w:rsidRPr="00A36543">
        <w:rPr>
          <w:i/>
          <w:color w:val="auto"/>
          <w:sz w:val="24"/>
          <w:szCs w:val="24"/>
        </w:rPr>
        <w:fldChar w:fldCharType="end"/>
      </w:r>
      <w:r w:rsidRPr="00A36543">
        <w:rPr>
          <w:i/>
          <w:color w:val="auto"/>
          <w:sz w:val="24"/>
          <w:szCs w:val="24"/>
        </w:rPr>
        <w:t xml:space="preserve">. Primici i izdaci po trezorskim zapisima do </w:t>
      </w:r>
      <w:r w:rsidR="007D190E" w:rsidRPr="00A36543">
        <w:rPr>
          <w:i/>
          <w:color w:val="auto"/>
          <w:sz w:val="24"/>
          <w:szCs w:val="24"/>
        </w:rPr>
        <w:t>30.6</w:t>
      </w:r>
      <w:r w:rsidRPr="00A36543">
        <w:rPr>
          <w:i/>
          <w:color w:val="auto"/>
          <w:sz w:val="24"/>
          <w:szCs w:val="24"/>
        </w:rPr>
        <w:t>.201</w:t>
      </w:r>
      <w:r w:rsidR="007D190E" w:rsidRPr="00A36543">
        <w:rPr>
          <w:i/>
          <w:color w:val="auto"/>
          <w:sz w:val="24"/>
          <w:szCs w:val="24"/>
        </w:rPr>
        <w:t>8</w:t>
      </w:r>
      <w:r w:rsidRPr="00A36543">
        <w:rPr>
          <w:i/>
          <w:color w:val="auto"/>
          <w:sz w:val="24"/>
          <w:szCs w:val="24"/>
        </w:rPr>
        <w:t>.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120"/>
        <w:gridCol w:w="2220"/>
        <w:gridCol w:w="2060"/>
        <w:gridCol w:w="2060"/>
        <w:gridCol w:w="1800"/>
      </w:tblGrid>
      <w:tr w:rsidR="00A118BC" w:rsidRPr="00A118BC" w:rsidTr="00E50BC4">
        <w:trPr>
          <w:trHeight w:val="5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Primitak od prodaje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 xml:space="preserve"> Iskup zapisa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Kamata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Saldo</w:t>
            </w:r>
          </w:p>
        </w:tc>
      </w:tr>
      <w:tr w:rsidR="00A118BC" w:rsidRPr="00A118BC" w:rsidTr="00E50BC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4.1.2018.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1.937.206.400,00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1.525.252.750,00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9.747.250,00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411.953.650,00</w:t>
            </w:r>
          </w:p>
        </w:tc>
      </w:tr>
      <w:tr w:rsidR="00A118BC" w:rsidRPr="00A118BC" w:rsidTr="00E50BC4">
        <w:trPr>
          <w:trHeight w:val="300"/>
        </w:trPr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25.1.2018.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1.398.600.000,00</w:t>
            </w:r>
          </w:p>
        </w:tc>
        <w:tc>
          <w:tcPr>
            <w:tcW w:w="2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922.478.400,00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5.521.600,00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476.121.600,00</w:t>
            </w:r>
          </w:p>
        </w:tc>
      </w:tr>
      <w:tr w:rsidR="00A118BC" w:rsidRPr="00A118BC" w:rsidTr="00E50BC4">
        <w:trPr>
          <w:trHeight w:val="300"/>
        </w:trPr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1.2.2018.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1.198.980.000,00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sz w:val="20"/>
                <w:szCs w:val="20"/>
              </w:rPr>
            </w:pPr>
            <w:r w:rsidRPr="00A118BC">
              <w:rPr>
                <w:sz w:val="20"/>
                <w:szCs w:val="20"/>
              </w:rPr>
              <w:t>795.352.000,00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4.648.000,00</w:t>
            </w: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403.628.000,00</w:t>
            </w:r>
          </w:p>
        </w:tc>
      </w:tr>
      <w:tr w:rsidR="00A118BC" w:rsidRPr="00A118BC" w:rsidTr="00E50BC4">
        <w:trPr>
          <w:trHeight w:val="300"/>
        </w:trPr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lastRenderedPageBreak/>
              <w:t>15.2.2018.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1.298.895.000,00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1.298.895.000,00</w:t>
            </w:r>
          </w:p>
        </w:tc>
      </w:tr>
      <w:tr w:rsidR="00A118BC" w:rsidRPr="00A118BC" w:rsidTr="00E50BC4">
        <w:trPr>
          <w:trHeight w:val="300"/>
        </w:trPr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22.2.2018.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1.498.725.000,00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1.508.555.040,00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7.444.960,00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-9.830.040,00</w:t>
            </w:r>
          </w:p>
        </w:tc>
      </w:tr>
      <w:tr w:rsidR="00A118BC" w:rsidRPr="00A118BC" w:rsidTr="00E50BC4">
        <w:trPr>
          <w:trHeight w:val="300"/>
        </w:trPr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1.3.2018.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BC" w:rsidRPr="00A118BC" w:rsidRDefault="00A118BC" w:rsidP="00A118BC">
            <w:pPr>
              <w:jc w:val="right"/>
              <w:rPr>
                <w:sz w:val="20"/>
                <w:szCs w:val="20"/>
              </w:rPr>
            </w:pPr>
            <w:r w:rsidRPr="00A118BC">
              <w:rPr>
                <w:sz w:val="20"/>
                <w:szCs w:val="20"/>
              </w:rPr>
              <w:t>1.496.726.700,00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1.492.620.000,00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7.380.000,00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4.106.700,00</w:t>
            </w:r>
          </w:p>
        </w:tc>
      </w:tr>
      <w:tr w:rsidR="00A118BC" w:rsidRPr="00A118BC" w:rsidTr="00E50BC4">
        <w:trPr>
          <w:trHeight w:val="300"/>
        </w:trPr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8.3.2018.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sz w:val="20"/>
                <w:szCs w:val="20"/>
              </w:rPr>
            </w:pPr>
            <w:r w:rsidRPr="00A118BC">
              <w:rPr>
                <w:sz w:val="20"/>
                <w:szCs w:val="20"/>
              </w:rPr>
              <w:t>1.115.051.400,00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860.137.920,00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3.862.080,00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254.913.480,00</w:t>
            </w:r>
          </w:p>
        </w:tc>
      </w:tr>
      <w:tr w:rsidR="00A118BC" w:rsidRPr="00A118BC" w:rsidTr="00E50BC4">
        <w:trPr>
          <w:trHeight w:val="300"/>
        </w:trPr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15.3.2018.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221.811.300,00</w:t>
            </w:r>
          </w:p>
        </w:tc>
        <w:tc>
          <w:tcPr>
            <w:tcW w:w="2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298.659.000,00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1.341.000,00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-76.847.700,00</w:t>
            </w:r>
          </w:p>
        </w:tc>
      </w:tr>
      <w:tr w:rsidR="00A118BC" w:rsidRPr="00A118BC" w:rsidTr="00E50BC4">
        <w:trPr>
          <w:trHeight w:val="300"/>
        </w:trPr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29.3.2018.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413.648.100,00</w:t>
            </w:r>
          </w:p>
        </w:tc>
        <w:tc>
          <w:tcPr>
            <w:tcW w:w="2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555.505.740,00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2.494.260,00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-141.857.640,00</w:t>
            </w:r>
          </w:p>
        </w:tc>
      </w:tr>
      <w:tr w:rsidR="00A118BC" w:rsidRPr="00A118BC" w:rsidTr="00E50BC4">
        <w:trPr>
          <w:trHeight w:val="300"/>
        </w:trPr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26.4.2018.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680.421.150,00</w:t>
            </w:r>
          </w:p>
        </w:tc>
        <w:tc>
          <w:tcPr>
            <w:tcW w:w="2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872.128.080,00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3.871.920,00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-191.706.930,00</w:t>
            </w:r>
          </w:p>
        </w:tc>
      </w:tr>
      <w:tr w:rsidR="00A118BC" w:rsidRPr="00A118BC" w:rsidTr="00E50BC4">
        <w:trPr>
          <w:trHeight w:val="300"/>
        </w:trPr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3.5.2018.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501.573.300,00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407.192.220,00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1.807.780,00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94.381.080,00</w:t>
            </w:r>
          </w:p>
        </w:tc>
      </w:tr>
      <w:tr w:rsidR="00A118BC" w:rsidRPr="00A118BC" w:rsidTr="00E50BC4">
        <w:trPr>
          <w:trHeight w:val="300"/>
        </w:trPr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24.5.2018.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sz w:val="20"/>
                <w:szCs w:val="20"/>
              </w:rPr>
            </w:pPr>
            <w:r w:rsidRPr="00A118BC">
              <w:rPr>
                <w:sz w:val="20"/>
                <w:szCs w:val="20"/>
              </w:rPr>
              <w:t>396.390.720,00</w:t>
            </w:r>
          </w:p>
        </w:tc>
        <w:tc>
          <w:tcPr>
            <w:tcW w:w="2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545.695.531,35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1.841.768,65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-149.304.811,35</w:t>
            </w:r>
          </w:p>
        </w:tc>
      </w:tr>
      <w:tr w:rsidR="00A118BC" w:rsidRPr="00A118BC" w:rsidTr="00E50BC4">
        <w:trPr>
          <w:trHeight w:val="300"/>
        </w:trPr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31.5.2018.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334.715.250,00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995.580.000,00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4.420.000,00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-660.864.750,00</w:t>
            </w:r>
          </w:p>
        </w:tc>
      </w:tr>
      <w:tr w:rsidR="00A118BC" w:rsidRPr="00A118BC" w:rsidTr="00E50BC4">
        <w:trPr>
          <w:trHeight w:val="300"/>
        </w:trPr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7.6.2018.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sz w:val="20"/>
                <w:szCs w:val="20"/>
              </w:rPr>
            </w:pPr>
            <w:r w:rsidRPr="00A118BC">
              <w:rPr>
                <w:sz w:val="20"/>
                <w:szCs w:val="20"/>
              </w:rPr>
              <w:t>312.845.950,00</w:t>
            </w:r>
          </w:p>
        </w:tc>
        <w:tc>
          <w:tcPr>
            <w:tcW w:w="20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640.157.940,00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2.842.060,00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-327.311.990,00</w:t>
            </w:r>
          </w:p>
        </w:tc>
      </w:tr>
      <w:tr w:rsidR="00A118BC" w:rsidRPr="00A118BC" w:rsidTr="00E50BC4">
        <w:trPr>
          <w:trHeight w:val="300"/>
        </w:trPr>
        <w:tc>
          <w:tcPr>
            <w:tcW w:w="1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28.6.2018.</w:t>
            </w:r>
          </w:p>
        </w:tc>
        <w:tc>
          <w:tcPr>
            <w:tcW w:w="22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720.387.150,00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643.144.680,00</w:t>
            </w:r>
          </w:p>
        </w:tc>
        <w:tc>
          <w:tcPr>
            <w:tcW w:w="20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2.855.320,00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sz w:val="20"/>
                <w:szCs w:val="20"/>
              </w:rPr>
              <w:t>77.242.470,00</w:t>
            </w:r>
          </w:p>
        </w:tc>
      </w:tr>
      <w:tr w:rsidR="00A118BC" w:rsidRPr="00A118BC" w:rsidTr="00E50BC4">
        <w:trPr>
          <w:trHeight w:val="37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BC" w:rsidRPr="00A118BC" w:rsidRDefault="00A118BC" w:rsidP="00A118BC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13.525.977.420,00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12.062.459.301,35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60.077.998,65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8BC" w:rsidRPr="00A118BC" w:rsidRDefault="00A118BC" w:rsidP="00A118BC">
            <w:pPr>
              <w:jc w:val="right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A118BC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1.463.518.118,65</w:t>
            </w:r>
          </w:p>
        </w:tc>
      </w:tr>
    </w:tbl>
    <w:p w:rsidR="00A118BC" w:rsidRPr="00A118BC" w:rsidRDefault="00A118BC" w:rsidP="00A118BC"/>
    <w:p w:rsidR="009B0A2C" w:rsidRPr="000A0F07" w:rsidRDefault="009B0A2C" w:rsidP="004058A0">
      <w:pPr>
        <w:tabs>
          <w:tab w:val="left" w:pos="0"/>
        </w:tabs>
        <w:jc w:val="both"/>
        <w:rPr>
          <w:b/>
          <w:u w:val="single"/>
        </w:rPr>
      </w:pPr>
    </w:p>
    <w:p w:rsidR="004058A0" w:rsidRPr="000A0F07" w:rsidRDefault="00BA6D1C" w:rsidP="00C83AB5">
      <w:pPr>
        <w:pStyle w:val="Odlomakpopisa"/>
        <w:numPr>
          <w:ilvl w:val="0"/>
          <w:numId w:val="5"/>
        </w:numPr>
        <w:tabs>
          <w:tab w:val="left" w:pos="0"/>
        </w:tabs>
        <w:jc w:val="both"/>
        <w:rPr>
          <w:b/>
          <w:i/>
        </w:rPr>
      </w:pPr>
      <w:r w:rsidRPr="000A0F07">
        <w:rPr>
          <w:b/>
          <w:i/>
        </w:rPr>
        <w:t>Zaduživanje putem kratkoročnih kredita</w:t>
      </w:r>
    </w:p>
    <w:p w:rsidR="00B36969" w:rsidRPr="000A0F07" w:rsidRDefault="00B36969" w:rsidP="004058A0">
      <w:pPr>
        <w:tabs>
          <w:tab w:val="left" w:pos="0"/>
        </w:tabs>
        <w:jc w:val="both"/>
        <w:rPr>
          <w:b/>
        </w:rPr>
      </w:pPr>
    </w:p>
    <w:p w:rsidR="00B36969" w:rsidRPr="00A36543" w:rsidRDefault="00B36969" w:rsidP="00B36969">
      <w:pPr>
        <w:pStyle w:val="Opisslike"/>
        <w:keepNext/>
        <w:rPr>
          <w:i/>
          <w:color w:val="auto"/>
          <w:sz w:val="24"/>
          <w:szCs w:val="24"/>
        </w:rPr>
      </w:pPr>
      <w:r w:rsidRPr="00A36543">
        <w:rPr>
          <w:i/>
          <w:color w:val="auto"/>
          <w:sz w:val="24"/>
          <w:szCs w:val="24"/>
        </w:rPr>
        <w:t xml:space="preserve">Tablica </w:t>
      </w:r>
      <w:r w:rsidRPr="00A36543">
        <w:rPr>
          <w:i/>
          <w:color w:val="auto"/>
          <w:sz w:val="24"/>
          <w:szCs w:val="24"/>
        </w:rPr>
        <w:fldChar w:fldCharType="begin"/>
      </w:r>
      <w:r w:rsidRPr="00A36543">
        <w:rPr>
          <w:i/>
          <w:color w:val="auto"/>
          <w:sz w:val="24"/>
          <w:szCs w:val="24"/>
        </w:rPr>
        <w:instrText xml:space="preserve"> SEQ Tablica \* ARABIC </w:instrText>
      </w:r>
      <w:r w:rsidRPr="00A36543">
        <w:rPr>
          <w:i/>
          <w:color w:val="auto"/>
          <w:sz w:val="24"/>
          <w:szCs w:val="24"/>
        </w:rPr>
        <w:fldChar w:fldCharType="separate"/>
      </w:r>
      <w:r w:rsidR="00551FD6">
        <w:rPr>
          <w:i/>
          <w:noProof/>
          <w:color w:val="auto"/>
          <w:sz w:val="24"/>
          <w:szCs w:val="24"/>
        </w:rPr>
        <w:t>3</w:t>
      </w:r>
      <w:r w:rsidRPr="00A36543">
        <w:rPr>
          <w:i/>
          <w:color w:val="auto"/>
          <w:sz w:val="24"/>
          <w:szCs w:val="24"/>
        </w:rPr>
        <w:fldChar w:fldCharType="end"/>
      </w:r>
      <w:r w:rsidRPr="00A36543">
        <w:rPr>
          <w:i/>
          <w:color w:val="auto"/>
          <w:sz w:val="24"/>
          <w:szCs w:val="24"/>
        </w:rPr>
        <w:t>. Stanje kratkoročnih kredita na dan 3</w:t>
      </w:r>
      <w:r w:rsidR="00EC2117" w:rsidRPr="00A36543">
        <w:rPr>
          <w:i/>
          <w:color w:val="auto"/>
          <w:sz w:val="24"/>
          <w:szCs w:val="24"/>
        </w:rPr>
        <w:t>0. lipnja</w:t>
      </w:r>
      <w:r w:rsidRPr="00A36543">
        <w:rPr>
          <w:i/>
          <w:color w:val="auto"/>
          <w:sz w:val="24"/>
          <w:szCs w:val="24"/>
        </w:rPr>
        <w:t xml:space="preserve"> 201</w:t>
      </w:r>
      <w:r w:rsidR="00EC2117" w:rsidRPr="00A36543">
        <w:rPr>
          <w:i/>
          <w:color w:val="auto"/>
          <w:sz w:val="24"/>
          <w:szCs w:val="24"/>
        </w:rPr>
        <w:t>8</w:t>
      </w:r>
      <w:r w:rsidRPr="00A36543">
        <w:rPr>
          <w:i/>
          <w:color w:val="auto"/>
          <w:sz w:val="24"/>
          <w:szCs w:val="24"/>
        </w:rPr>
        <w:t>.</w:t>
      </w:r>
    </w:p>
    <w:p w:rsidR="00EC2117" w:rsidRDefault="00EC2117" w:rsidP="00EC2117">
      <w:r w:rsidRPr="005D5ADE">
        <w:rPr>
          <w:noProof/>
        </w:rPr>
        <w:drawing>
          <wp:inline distT="0" distB="0" distL="0" distR="0" wp14:anchorId="2B33898F" wp14:editId="7330F4BC">
            <wp:extent cx="5760720" cy="4093210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17" w:rsidRDefault="00EC2117" w:rsidP="00EC2117"/>
    <w:p w:rsidR="00EC2117" w:rsidRPr="00EC2117" w:rsidRDefault="00EC2117" w:rsidP="00EC2117"/>
    <w:p w:rsidR="001F1D13" w:rsidRDefault="001F1D13" w:rsidP="003146B4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E643B9" w:rsidRDefault="00E643B9" w:rsidP="003146B4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</w:p>
    <w:p w:rsidR="00E643B9" w:rsidRDefault="00E643B9" w:rsidP="003146B4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bookmarkStart w:id="0" w:name="_GoBack"/>
      <w:bookmarkEnd w:id="0"/>
    </w:p>
    <w:p w:rsidR="00A36543" w:rsidRPr="008945C3" w:rsidRDefault="00855349" w:rsidP="008945C3">
      <w:pPr>
        <w:spacing w:after="200" w:line="276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8945C3">
        <w:rPr>
          <w:rFonts w:eastAsiaTheme="minorHAnsi"/>
          <w:b/>
          <w:sz w:val="28"/>
          <w:szCs w:val="28"/>
          <w:lang w:eastAsia="en-US"/>
        </w:rPr>
        <w:lastRenderedPageBreak/>
        <w:t>IZVJEŠTAJ O PROVEDBI STRATEGIJE</w:t>
      </w:r>
      <w:r w:rsidR="00A36543" w:rsidRPr="008945C3">
        <w:rPr>
          <w:rFonts w:eastAsiaTheme="minorHAnsi"/>
          <w:b/>
          <w:sz w:val="28"/>
          <w:szCs w:val="28"/>
          <w:lang w:eastAsia="en-US"/>
        </w:rPr>
        <w:t xml:space="preserve"> UPRAVLJANJ</w:t>
      </w:r>
      <w:r w:rsidR="00F072DC">
        <w:rPr>
          <w:rFonts w:eastAsiaTheme="minorHAnsi"/>
          <w:b/>
          <w:sz w:val="28"/>
          <w:szCs w:val="28"/>
          <w:lang w:eastAsia="en-US"/>
        </w:rPr>
        <w:t>A JAVNIM DUGOM ZA RAZDOBLJE 2018. – 2020</w:t>
      </w:r>
      <w:r w:rsidR="00A36543" w:rsidRPr="008945C3">
        <w:rPr>
          <w:rFonts w:eastAsiaTheme="minorHAnsi"/>
          <w:b/>
          <w:sz w:val="28"/>
          <w:szCs w:val="28"/>
          <w:lang w:eastAsia="en-US"/>
        </w:rPr>
        <w:t>.</w:t>
      </w:r>
    </w:p>
    <w:p w:rsidR="00FF556F" w:rsidRPr="000A0F07" w:rsidRDefault="00FF556F" w:rsidP="003146B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C83AB5" w:rsidRPr="000A0F07" w:rsidRDefault="00C83AB5" w:rsidP="00FF556F">
      <w:pPr>
        <w:spacing w:after="200" w:line="276" w:lineRule="auto"/>
        <w:ind w:left="720"/>
        <w:contextualSpacing/>
        <w:jc w:val="both"/>
        <w:rPr>
          <w:rFonts w:eastAsiaTheme="minorHAnsi"/>
          <w:b/>
          <w:lang w:eastAsia="en-US"/>
        </w:rPr>
      </w:pPr>
    </w:p>
    <w:p w:rsidR="00C83AB5" w:rsidRPr="00FA5D3B" w:rsidRDefault="001F1D13" w:rsidP="003146B4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D3B">
        <w:rPr>
          <w:rFonts w:eastAsiaTheme="minorHAnsi"/>
          <w:lang w:eastAsia="en-US"/>
        </w:rPr>
        <w:t>Dug državnog proračuna</w:t>
      </w:r>
      <w:r w:rsidR="00C83AB5" w:rsidRPr="00FA5D3B">
        <w:rPr>
          <w:rFonts w:eastAsiaTheme="minorHAnsi"/>
          <w:lang w:eastAsia="en-US"/>
        </w:rPr>
        <w:t xml:space="preserve"> obuhvaća kreditne obveze koje se servisiraju iz državnog proračuna, a ne obuhvaća dug izvanproračunskih korisnika državnog proračuna i dug javnih poduzeća</w:t>
      </w:r>
      <w:r w:rsidRPr="00FA5D3B">
        <w:rPr>
          <w:rFonts w:eastAsiaTheme="minorHAnsi"/>
          <w:lang w:eastAsia="en-US"/>
        </w:rPr>
        <w:t xml:space="preserve"> koja su klasificirana</w:t>
      </w:r>
      <w:r w:rsidR="003E5878" w:rsidRPr="00FA5D3B">
        <w:rPr>
          <w:rFonts w:eastAsiaTheme="minorHAnsi"/>
          <w:lang w:eastAsia="en-US"/>
        </w:rPr>
        <w:t xml:space="preserve"> u sektor središnje države prema metodologiji ESA 2010</w:t>
      </w:r>
      <w:r w:rsidR="00C83AB5" w:rsidRPr="00FA5D3B">
        <w:rPr>
          <w:rFonts w:eastAsiaTheme="minorHAnsi"/>
          <w:lang w:eastAsia="en-US"/>
        </w:rPr>
        <w:t>.</w:t>
      </w:r>
    </w:p>
    <w:p w:rsidR="006B580D" w:rsidRPr="00FA5D3B" w:rsidRDefault="00C83AB5" w:rsidP="00C83AB5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FA5D3B">
        <w:rPr>
          <w:rFonts w:eastAsiaTheme="minorHAnsi"/>
          <w:lang w:eastAsia="en-US"/>
        </w:rPr>
        <w:t xml:space="preserve">Državni dug obuhvaća domaći i inozemni dug. Domaći dug se sastoji od obveznica izdanih na domaćem tržištu, trezorskih zapisa i kredita na domaćem tržištu kapitala, dok se inozemni dug sastoji od obveznica i kredita na međunarodnim financijskim tržištima. Kretanje hrvatskog državnog duga u razdoblju </w:t>
      </w:r>
      <w:r w:rsidR="003146B4" w:rsidRPr="00FA5D3B">
        <w:rPr>
          <w:rFonts w:eastAsiaTheme="minorHAnsi"/>
          <w:lang w:eastAsia="en-US"/>
        </w:rPr>
        <w:t>od 201</w:t>
      </w:r>
      <w:r w:rsidR="006B33FB">
        <w:rPr>
          <w:rFonts w:eastAsiaTheme="minorHAnsi"/>
          <w:lang w:eastAsia="en-US"/>
        </w:rPr>
        <w:t>6</w:t>
      </w:r>
      <w:r w:rsidR="003146B4" w:rsidRPr="00FA5D3B">
        <w:rPr>
          <w:rFonts w:eastAsiaTheme="minorHAnsi"/>
          <w:lang w:eastAsia="en-US"/>
        </w:rPr>
        <w:t xml:space="preserve">. do </w:t>
      </w:r>
      <w:r w:rsidRPr="00FA5D3B">
        <w:rPr>
          <w:rFonts w:eastAsiaTheme="minorHAnsi"/>
          <w:lang w:eastAsia="en-US"/>
        </w:rPr>
        <w:t>201</w:t>
      </w:r>
      <w:r w:rsidR="006B33FB">
        <w:rPr>
          <w:rFonts w:eastAsiaTheme="minorHAnsi"/>
          <w:lang w:eastAsia="en-US"/>
        </w:rPr>
        <w:t>8</w:t>
      </w:r>
      <w:r w:rsidRPr="00FA5D3B">
        <w:rPr>
          <w:rFonts w:eastAsiaTheme="minorHAnsi"/>
          <w:lang w:eastAsia="en-US"/>
        </w:rPr>
        <w:t>. godine vi</w:t>
      </w:r>
      <w:r w:rsidR="00B36969" w:rsidRPr="00FA5D3B">
        <w:rPr>
          <w:rFonts w:eastAsiaTheme="minorHAnsi"/>
          <w:lang w:eastAsia="en-US"/>
        </w:rPr>
        <w:t xml:space="preserve">dljivo je u </w:t>
      </w:r>
      <w:r w:rsidR="003146B4" w:rsidRPr="00FA5D3B">
        <w:rPr>
          <w:rFonts w:eastAsiaTheme="minorHAnsi"/>
          <w:lang w:eastAsia="en-US"/>
        </w:rPr>
        <w:t>tablici</w:t>
      </w:r>
      <w:r w:rsidR="00B36969" w:rsidRPr="00FA5D3B">
        <w:rPr>
          <w:rFonts w:eastAsiaTheme="minorHAnsi"/>
          <w:lang w:eastAsia="en-US"/>
        </w:rPr>
        <w:t xml:space="preserve"> </w:t>
      </w:r>
      <w:r w:rsidR="00E643B9">
        <w:rPr>
          <w:rFonts w:eastAsiaTheme="minorHAnsi"/>
          <w:lang w:eastAsia="en-US"/>
        </w:rPr>
        <w:t>4</w:t>
      </w:r>
      <w:r w:rsidR="003146B4" w:rsidRPr="00FA5D3B">
        <w:rPr>
          <w:rFonts w:eastAsiaTheme="minorHAnsi"/>
          <w:lang w:eastAsia="en-US"/>
        </w:rPr>
        <w:t>.</w:t>
      </w:r>
    </w:p>
    <w:p w:rsidR="009C5A67" w:rsidRPr="00A36543" w:rsidRDefault="009C5A67" w:rsidP="009C5A67">
      <w:pPr>
        <w:pStyle w:val="Opisslike"/>
        <w:keepNext/>
        <w:rPr>
          <w:i/>
          <w:color w:val="auto"/>
          <w:sz w:val="24"/>
          <w:szCs w:val="24"/>
        </w:rPr>
      </w:pPr>
      <w:r w:rsidRPr="00A36543">
        <w:rPr>
          <w:i/>
          <w:color w:val="auto"/>
          <w:sz w:val="24"/>
          <w:szCs w:val="24"/>
        </w:rPr>
        <w:t xml:space="preserve">Tablica </w:t>
      </w:r>
      <w:r w:rsidRPr="00A36543">
        <w:rPr>
          <w:i/>
          <w:color w:val="auto"/>
          <w:sz w:val="24"/>
          <w:szCs w:val="24"/>
        </w:rPr>
        <w:fldChar w:fldCharType="begin"/>
      </w:r>
      <w:r w:rsidRPr="00A36543">
        <w:rPr>
          <w:i/>
          <w:color w:val="auto"/>
          <w:sz w:val="24"/>
          <w:szCs w:val="24"/>
        </w:rPr>
        <w:instrText xml:space="preserve"> SEQ Tablica \* ARABIC </w:instrText>
      </w:r>
      <w:r w:rsidRPr="00A36543">
        <w:rPr>
          <w:i/>
          <w:color w:val="auto"/>
          <w:sz w:val="24"/>
          <w:szCs w:val="24"/>
        </w:rPr>
        <w:fldChar w:fldCharType="separate"/>
      </w:r>
      <w:r w:rsidR="00551FD6">
        <w:rPr>
          <w:i/>
          <w:noProof/>
          <w:color w:val="auto"/>
          <w:sz w:val="24"/>
          <w:szCs w:val="24"/>
        </w:rPr>
        <w:t>4</w:t>
      </w:r>
      <w:r w:rsidRPr="00A36543">
        <w:rPr>
          <w:i/>
          <w:color w:val="auto"/>
          <w:sz w:val="24"/>
          <w:szCs w:val="24"/>
        </w:rPr>
        <w:fldChar w:fldCharType="end"/>
      </w:r>
      <w:r w:rsidRPr="00A36543">
        <w:rPr>
          <w:i/>
          <w:color w:val="auto"/>
          <w:sz w:val="24"/>
          <w:szCs w:val="24"/>
        </w:rPr>
        <w:t>. Dug prema vrsti instrumenata 201</w:t>
      </w:r>
      <w:r w:rsidR="00F6736A" w:rsidRPr="00A36543">
        <w:rPr>
          <w:i/>
          <w:color w:val="auto"/>
          <w:sz w:val="24"/>
          <w:szCs w:val="24"/>
        </w:rPr>
        <w:t>6</w:t>
      </w:r>
      <w:r w:rsidRPr="00A36543">
        <w:rPr>
          <w:i/>
          <w:color w:val="auto"/>
          <w:sz w:val="24"/>
          <w:szCs w:val="24"/>
        </w:rPr>
        <w:t>. – 201</w:t>
      </w:r>
      <w:r w:rsidR="00F6736A" w:rsidRPr="00A36543">
        <w:rPr>
          <w:i/>
          <w:color w:val="auto"/>
          <w:sz w:val="24"/>
          <w:szCs w:val="24"/>
        </w:rPr>
        <w:t>8</w:t>
      </w:r>
      <w:r w:rsidRPr="00A36543">
        <w:rPr>
          <w:i/>
          <w:color w:val="auto"/>
          <w:sz w:val="24"/>
          <w:szCs w:val="24"/>
        </w:rPr>
        <w:t>.</w:t>
      </w:r>
    </w:p>
    <w:p w:rsidR="0028243C" w:rsidRPr="0028243C" w:rsidRDefault="0028243C" w:rsidP="0028243C">
      <w:r w:rsidRPr="00A56AB4">
        <w:rPr>
          <w:noProof/>
        </w:rPr>
        <w:drawing>
          <wp:inline distT="0" distB="0" distL="0" distR="0" wp14:anchorId="1476D200" wp14:editId="2D6302B9">
            <wp:extent cx="5760720" cy="2165985"/>
            <wp:effectExtent l="0" t="0" r="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41" w:rsidRDefault="007B0A41" w:rsidP="007B0A41"/>
    <w:p w:rsidR="007B0A41" w:rsidRPr="007B0A41" w:rsidRDefault="007B0A41" w:rsidP="007B0A41"/>
    <w:p w:rsidR="009851C6" w:rsidRPr="000A0F07" w:rsidRDefault="009851C6" w:rsidP="009851C6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eastAsiaTheme="minorHAnsi"/>
          <w:b/>
          <w:i/>
          <w:lang w:eastAsia="en-US"/>
        </w:rPr>
      </w:pPr>
      <w:r w:rsidRPr="000A0F07">
        <w:rPr>
          <w:rFonts w:eastAsiaTheme="minorHAnsi"/>
          <w:b/>
          <w:i/>
          <w:lang w:eastAsia="en-US"/>
        </w:rPr>
        <w:t>Valutna struktura državnog duga</w:t>
      </w:r>
    </w:p>
    <w:p w:rsidR="00855349" w:rsidRPr="001E4E1B" w:rsidRDefault="00CB3034" w:rsidP="001E4E1B">
      <w:pPr>
        <w:spacing w:before="240" w:line="276" w:lineRule="auto"/>
        <w:jc w:val="both"/>
        <w:rPr>
          <w:rFonts w:eastAsiaTheme="minorHAnsi"/>
          <w:lang w:eastAsia="en-US"/>
        </w:rPr>
      </w:pPr>
      <w:r w:rsidRPr="008B2385">
        <w:rPr>
          <w:rFonts w:eastAsiaTheme="minorHAnsi"/>
          <w:lang w:eastAsia="en-US"/>
        </w:rPr>
        <w:t xml:space="preserve">Valutna struktura duga </w:t>
      </w:r>
      <w:r w:rsidR="00C61CBF" w:rsidRPr="008B2385">
        <w:rPr>
          <w:rFonts w:eastAsiaTheme="minorHAnsi"/>
          <w:lang w:eastAsia="en-US"/>
        </w:rPr>
        <w:t xml:space="preserve">potkraj lipnja </w:t>
      </w:r>
      <w:r w:rsidRPr="008B2385">
        <w:rPr>
          <w:rFonts w:eastAsiaTheme="minorHAnsi"/>
          <w:lang w:eastAsia="en-US"/>
        </w:rPr>
        <w:t>201</w:t>
      </w:r>
      <w:r w:rsidR="00C61CBF" w:rsidRPr="008B2385">
        <w:rPr>
          <w:rFonts w:eastAsiaTheme="minorHAnsi"/>
          <w:lang w:eastAsia="en-US"/>
        </w:rPr>
        <w:t>8</w:t>
      </w:r>
      <w:r w:rsidRPr="008B2385">
        <w:rPr>
          <w:rFonts w:eastAsiaTheme="minorHAnsi"/>
          <w:lang w:eastAsia="en-US"/>
        </w:rPr>
        <w:t>. godine pokazuje dominaciju dviju valuta, kuna i eura. Udio duga denominiranog u eurima je 64,</w:t>
      </w:r>
      <w:r w:rsidR="00546571">
        <w:rPr>
          <w:rFonts w:eastAsiaTheme="minorHAnsi"/>
          <w:lang w:eastAsia="en-US"/>
        </w:rPr>
        <w:t>4</w:t>
      </w:r>
      <w:r w:rsidRPr="008B2385">
        <w:rPr>
          <w:rFonts w:eastAsiaTheme="minorHAnsi"/>
          <w:lang w:eastAsia="en-US"/>
        </w:rPr>
        <w:t>% ukupnog državnog duga i najvećim je dijelom rezultat izdavanja obveznica denominiranih u eurima te korištenje projektnih zajmova međunarodnih financijskih institucija.</w:t>
      </w:r>
      <w:r w:rsidR="007616E6" w:rsidRPr="008B2385">
        <w:rPr>
          <w:rFonts w:eastAsiaTheme="minorHAnsi"/>
          <w:lang w:eastAsia="en-US"/>
        </w:rPr>
        <w:t xml:space="preserve"> U dijelu duga denominiranog u eurima jedan dio se odnosi na dug koji se izražava u eurima, a plativ je u kunama i čini 1</w:t>
      </w:r>
      <w:r w:rsidR="00546571">
        <w:rPr>
          <w:rFonts w:eastAsiaTheme="minorHAnsi"/>
          <w:lang w:eastAsia="en-US"/>
        </w:rPr>
        <w:t>7,1</w:t>
      </w:r>
      <w:r w:rsidR="007616E6" w:rsidRPr="008B2385">
        <w:rPr>
          <w:rFonts w:eastAsiaTheme="minorHAnsi"/>
          <w:lang w:eastAsia="en-US"/>
        </w:rPr>
        <w:t>% ukupnog duga. Dug denominiran u kunama čini 31,</w:t>
      </w:r>
      <w:r w:rsidR="00546571">
        <w:rPr>
          <w:rFonts w:eastAsiaTheme="minorHAnsi"/>
          <w:lang w:eastAsia="en-US"/>
        </w:rPr>
        <w:t>6</w:t>
      </w:r>
      <w:r w:rsidR="007616E6" w:rsidRPr="008B2385">
        <w:rPr>
          <w:rFonts w:eastAsiaTheme="minorHAnsi"/>
          <w:lang w:eastAsia="en-US"/>
        </w:rPr>
        <w:t>% ukupnog državnog duga i rezultat je orijentacije zaduživanja na domaćem tržištu kapitala, što je ujedno pridonijelo i razvoju dugoročne krivulje prinosa u nacionalnoj valuti. Osim kuna i eura koji dominiraju u valutnoj strukturi, udio duga denominiranog u dolarima čini 4,</w:t>
      </w:r>
      <w:r w:rsidR="007E5D5A" w:rsidRPr="008B2385">
        <w:rPr>
          <w:rFonts w:eastAsiaTheme="minorHAnsi"/>
          <w:lang w:eastAsia="en-US"/>
        </w:rPr>
        <w:t>0</w:t>
      </w:r>
      <w:r w:rsidR="007616E6" w:rsidRPr="008B2385">
        <w:rPr>
          <w:rFonts w:eastAsiaTheme="minorHAnsi"/>
          <w:lang w:eastAsia="en-US"/>
        </w:rPr>
        <w:t>%.</w:t>
      </w:r>
    </w:p>
    <w:p w:rsidR="009C5A67" w:rsidRPr="00A36543" w:rsidRDefault="009C5A67" w:rsidP="009C5A67">
      <w:pPr>
        <w:pStyle w:val="Opisslike"/>
        <w:keepNext/>
        <w:rPr>
          <w:i/>
          <w:color w:val="auto"/>
          <w:sz w:val="24"/>
          <w:szCs w:val="24"/>
        </w:rPr>
      </w:pPr>
      <w:r w:rsidRPr="00A36543">
        <w:rPr>
          <w:i/>
          <w:color w:val="auto"/>
          <w:sz w:val="24"/>
          <w:szCs w:val="24"/>
        </w:rPr>
        <w:lastRenderedPageBreak/>
        <w:t xml:space="preserve">Grafikon </w:t>
      </w:r>
      <w:r w:rsidRPr="00A36543">
        <w:rPr>
          <w:i/>
          <w:color w:val="auto"/>
          <w:sz w:val="24"/>
          <w:szCs w:val="24"/>
        </w:rPr>
        <w:fldChar w:fldCharType="begin"/>
      </w:r>
      <w:r w:rsidRPr="00A36543">
        <w:rPr>
          <w:i/>
          <w:color w:val="auto"/>
          <w:sz w:val="24"/>
          <w:szCs w:val="24"/>
        </w:rPr>
        <w:instrText xml:space="preserve"> SEQ Grafikon \* ARABIC </w:instrText>
      </w:r>
      <w:r w:rsidRPr="00A36543">
        <w:rPr>
          <w:i/>
          <w:color w:val="auto"/>
          <w:sz w:val="24"/>
          <w:szCs w:val="24"/>
        </w:rPr>
        <w:fldChar w:fldCharType="separate"/>
      </w:r>
      <w:r w:rsidR="00551FD6">
        <w:rPr>
          <w:i/>
          <w:noProof/>
          <w:color w:val="auto"/>
          <w:sz w:val="24"/>
          <w:szCs w:val="24"/>
        </w:rPr>
        <w:t>1</w:t>
      </w:r>
      <w:r w:rsidRPr="00A36543">
        <w:rPr>
          <w:i/>
          <w:color w:val="auto"/>
          <w:sz w:val="24"/>
          <w:szCs w:val="24"/>
        </w:rPr>
        <w:fldChar w:fldCharType="end"/>
      </w:r>
      <w:r w:rsidRPr="00A36543">
        <w:rPr>
          <w:i/>
          <w:color w:val="auto"/>
          <w:sz w:val="24"/>
          <w:szCs w:val="24"/>
        </w:rPr>
        <w:t>. Valutna struktura državnog duga na dan 3</w:t>
      </w:r>
      <w:r w:rsidR="005A62B8" w:rsidRPr="00A36543">
        <w:rPr>
          <w:i/>
          <w:color w:val="auto"/>
          <w:sz w:val="24"/>
          <w:szCs w:val="24"/>
        </w:rPr>
        <w:t>0. lipnja</w:t>
      </w:r>
      <w:r w:rsidRPr="00A36543">
        <w:rPr>
          <w:i/>
          <w:color w:val="auto"/>
          <w:sz w:val="24"/>
          <w:szCs w:val="24"/>
        </w:rPr>
        <w:t xml:space="preserve"> 201</w:t>
      </w:r>
      <w:r w:rsidR="005A62B8" w:rsidRPr="00A36543">
        <w:rPr>
          <w:i/>
          <w:color w:val="auto"/>
          <w:sz w:val="24"/>
          <w:szCs w:val="24"/>
        </w:rPr>
        <w:t>8</w:t>
      </w:r>
      <w:r w:rsidRPr="00A36543">
        <w:rPr>
          <w:i/>
          <w:color w:val="auto"/>
          <w:sz w:val="24"/>
          <w:szCs w:val="24"/>
        </w:rPr>
        <w:t>.</w:t>
      </w:r>
    </w:p>
    <w:p w:rsidR="00546571" w:rsidRPr="00546571" w:rsidRDefault="00546571" w:rsidP="00546571">
      <w:r>
        <w:rPr>
          <w:noProof/>
        </w:rPr>
        <w:drawing>
          <wp:inline distT="0" distB="0" distL="0" distR="0" wp14:anchorId="6F9BBBBF" wp14:editId="447E8CF1">
            <wp:extent cx="5760720" cy="3474008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4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D5A" w:rsidRPr="007E5D5A" w:rsidRDefault="007E5D5A" w:rsidP="007E5D5A"/>
    <w:p w:rsidR="005A62B8" w:rsidRDefault="005A62B8" w:rsidP="005A62B8"/>
    <w:p w:rsidR="005A62B8" w:rsidRPr="005A62B8" w:rsidRDefault="005A62B8" w:rsidP="005A62B8"/>
    <w:p w:rsidR="00841D91" w:rsidRPr="000A0F07" w:rsidRDefault="00841D91" w:rsidP="009C5A67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9C5A67" w:rsidRPr="00A36543" w:rsidRDefault="009C5A67" w:rsidP="009C5A67">
      <w:pPr>
        <w:pStyle w:val="Opisslike"/>
        <w:keepNext/>
        <w:rPr>
          <w:i/>
          <w:color w:val="auto"/>
          <w:sz w:val="24"/>
          <w:szCs w:val="24"/>
        </w:rPr>
      </w:pPr>
      <w:r w:rsidRPr="00A36543">
        <w:rPr>
          <w:i/>
          <w:color w:val="auto"/>
          <w:sz w:val="24"/>
          <w:szCs w:val="24"/>
        </w:rPr>
        <w:t xml:space="preserve">Grafikon </w:t>
      </w:r>
      <w:r w:rsidRPr="00A36543">
        <w:rPr>
          <w:i/>
          <w:color w:val="auto"/>
          <w:sz w:val="24"/>
          <w:szCs w:val="24"/>
        </w:rPr>
        <w:fldChar w:fldCharType="begin"/>
      </w:r>
      <w:r w:rsidRPr="00A36543">
        <w:rPr>
          <w:i/>
          <w:color w:val="auto"/>
          <w:sz w:val="24"/>
          <w:szCs w:val="24"/>
        </w:rPr>
        <w:instrText xml:space="preserve"> SEQ Grafikon \* ARABIC </w:instrText>
      </w:r>
      <w:r w:rsidRPr="00A36543">
        <w:rPr>
          <w:i/>
          <w:color w:val="auto"/>
          <w:sz w:val="24"/>
          <w:szCs w:val="24"/>
        </w:rPr>
        <w:fldChar w:fldCharType="separate"/>
      </w:r>
      <w:r w:rsidR="00551FD6">
        <w:rPr>
          <w:i/>
          <w:noProof/>
          <w:color w:val="auto"/>
          <w:sz w:val="24"/>
          <w:szCs w:val="24"/>
        </w:rPr>
        <w:t>2</w:t>
      </w:r>
      <w:r w:rsidRPr="00A36543">
        <w:rPr>
          <w:i/>
          <w:color w:val="auto"/>
          <w:sz w:val="24"/>
          <w:szCs w:val="24"/>
        </w:rPr>
        <w:fldChar w:fldCharType="end"/>
      </w:r>
      <w:r w:rsidRPr="00A36543">
        <w:rPr>
          <w:i/>
          <w:color w:val="auto"/>
          <w:sz w:val="24"/>
          <w:szCs w:val="24"/>
        </w:rPr>
        <w:t>. Kretanje valutne strukture državnog duga u razdoblju 201</w:t>
      </w:r>
      <w:r w:rsidR="0044060A" w:rsidRPr="00A36543">
        <w:rPr>
          <w:i/>
          <w:color w:val="auto"/>
          <w:sz w:val="24"/>
          <w:szCs w:val="24"/>
        </w:rPr>
        <w:t>6</w:t>
      </w:r>
      <w:r w:rsidRPr="00A36543">
        <w:rPr>
          <w:i/>
          <w:color w:val="auto"/>
          <w:sz w:val="24"/>
          <w:szCs w:val="24"/>
        </w:rPr>
        <w:t>. - 201</w:t>
      </w:r>
      <w:r w:rsidR="0044060A" w:rsidRPr="00A36543">
        <w:rPr>
          <w:i/>
          <w:color w:val="auto"/>
          <w:sz w:val="24"/>
          <w:szCs w:val="24"/>
        </w:rPr>
        <w:t>8</w:t>
      </w:r>
      <w:r w:rsidRPr="00A36543">
        <w:rPr>
          <w:i/>
          <w:color w:val="auto"/>
          <w:sz w:val="24"/>
          <w:szCs w:val="24"/>
        </w:rPr>
        <w:t>.</w:t>
      </w:r>
    </w:p>
    <w:p w:rsidR="0044060A" w:rsidRDefault="0021757A" w:rsidP="0044060A">
      <w:r>
        <w:rPr>
          <w:noProof/>
        </w:rPr>
        <w:drawing>
          <wp:inline distT="0" distB="0" distL="0" distR="0" wp14:anchorId="43389FF1" wp14:editId="6E5CB0B9">
            <wp:extent cx="5760720" cy="368003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969" w:rsidRPr="000A0F07" w:rsidRDefault="00B36969" w:rsidP="001E4E1B">
      <w:pPr>
        <w:spacing w:after="200" w:line="276" w:lineRule="auto"/>
        <w:rPr>
          <w:rFonts w:eastAsiaTheme="minorHAnsi"/>
          <w:lang w:eastAsia="en-US"/>
        </w:rPr>
      </w:pPr>
    </w:p>
    <w:p w:rsidR="00855349" w:rsidRPr="00301B62" w:rsidRDefault="00855349" w:rsidP="008945C3">
      <w:pPr>
        <w:spacing w:before="240" w:line="276" w:lineRule="auto"/>
        <w:jc w:val="both"/>
        <w:rPr>
          <w:rFonts w:eastAsiaTheme="minorHAnsi"/>
          <w:lang w:eastAsia="en-US"/>
        </w:rPr>
      </w:pPr>
      <w:r w:rsidRPr="00301B62">
        <w:rPr>
          <w:rFonts w:eastAsiaTheme="minorHAnsi"/>
          <w:lang w:eastAsia="en-US"/>
        </w:rPr>
        <w:lastRenderedPageBreak/>
        <w:t>Grafikon 2 prikazuje kretanje valutne strukture državnog duga u razdoblju 201</w:t>
      </w:r>
      <w:r w:rsidR="00A94BB2" w:rsidRPr="00301B62">
        <w:rPr>
          <w:rFonts w:eastAsiaTheme="minorHAnsi"/>
          <w:lang w:eastAsia="en-US"/>
        </w:rPr>
        <w:t>6</w:t>
      </w:r>
      <w:r w:rsidRPr="00301B62">
        <w:rPr>
          <w:rFonts w:eastAsiaTheme="minorHAnsi"/>
          <w:lang w:eastAsia="en-US"/>
        </w:rPr>
        <w:t>. - 201</w:t>
      </w:r>
      <w:r w:rsidR="00210485" w:rsidRPr="00301B62">
        <w:rPr>
          <w:rFonts w:eastAsiaTheme="minorHAnsi"/>
          <w:lang w:eastAsia="en-US"/>
        </w:rPr>
        <w:t>8</w:t>
      </w:r>
      <w:r w:rsidRPr="00301B62">
        <w:rPr>
          <w:rFonts w:eastAsiaTheme="minorHAnsi"/>
          <w:lang w:eastAsia="en-US"/>
        </w:rPr>
        <w:t>. iz kojeg je vidljivo da se udio duga u kunama povećao sa 2</w:t>
      </w:r>
      <w:r w:rsidR="00210485" w:rsidRPr="00301B62">
        <w:rPr>
          <w:rFonts w:eastAsiaTheme="minorHAnsi"/>
          <w:lang w:eastAsia="en-US"/>
        </w:rPr>
        <w:t>9,8</w:t>
      </w:r>
      <w:r w:rsidRPr="00301B62">
        <w:rPr>
          <w:rFonts w:eastAsiaTheme="minorHAnsi"/>
          <w:lang w:eastAsia="en-US"/>
        </w:rPr>
        <w:t>%, koliko je iznosio potkraj 201</w:t>
      </w:r>
      <w:r w:rsidR="00210485" w:rsidRPr="00301B62">
        <w:rPr>
          <w:rFonts w:eastAsiaTheme="minorHAnsi"/>
          <w:lang w:eastAsia="en-US"/>
        </w:rPr>
        <w:t>6</w:t>
      </w:r>
      <w:r w:rsidRPr="00301B62">
        <w:rPr>
          <w:rFonts w:eastAsiaTheme="minorHAnsi"/>
          <w:lang w:eastAsia="en-US"/>
        </w:rPr>
        <w:t>. godine, na 31,</w:t>
      </w:r>
      <w:r w:rsidR="0021757A">
        <w:rPr>
          <w:rFonts w:eastAsiaTheme="minorHAnsi"/>
          <w:lang w:eastAsia="en-US"/>
        </w:rPr>
        <w:t>55</w:t>
      </w:r>
      <w:r w:rsidRPr="00301B62">
        <w:rPr>
          <w:rFonts w:eastAsiaTheme="minorHAnsi"/>
          <w:lang w:eastAsia="en-US"/>
        </w:rPr>
        <w:t xml:space="preserve">% koliki je bio </w:t>
      </w:r>
      <w:r w:rsidR="00210485" w:rsidRPr="00301B62">
        <w:rPr>
          <w:rFonts w:eastAsiaTheme="minorHAnsi"/>
          <w:lang w:eastAsia="en-US"/>
        </w:rPr>
        <w:t xml:space="preserve">potkraj lipnja </w:t>
      </w:r>
      <w:r w:rsidRPr="00301B62">
        <w:rPr>
          <w:rFonts w:eastAsiaTheme="minorHAnsi"/>
          <w:lang w:eastAsia="en-US"/>
        </w:rPr>
        <w:t>201</w:t>
      </w:r>
      <w:r w:rsidR="00210485" w:rsidRPr="00301B62">
        <w:rPr>
          <w:rFonts w:eastAsiaTheme="minorHAnsi"/>
          <w:lang w:eastAsia="en-US"/>
        </w:rPr>
        <w:t>8</w:t>
      </w:r>
      <w:r w:rsidRPr="00301B62">
        <w:rPr>
          <w:rFonts w:eastAsiaTheme="minorHAnsi"/>
          <w:lang w:eastAsia="en-US"/>
        </w:rPr>
        <w:t>. Istovremeno se smanjio udio duga s valutnom klauzulom s 1</w:t>
      </w:r>
      <w:r w:rsidR="00210485" w:rsidRPr="00301B62">
        <w:rPr>
          <w:rFonts w:eastAsiaTheme="minorHAnsi"/>
          <w:lang w:eastAsia="en-US"/>
        </w:rPr>
        <w:t>8,7</w:t>
      </w:r>
      <w:r w:rsidRPr="00301B62">
        <w:rPr>
          <w:rFonts w:eastAsiaTheme="minorHAnsi"/>
          <w:lang w:eastAsia="en-US"/>
        </w:rPr>
        <w:t>% na 1</w:t>
      </w:r>
      <w:r w:rsidR="00210485" w:rsidRPr="00301B62">
        <w:rPr>
          <w:rFonts w:eastAsiaTheme="minorHAnsi"/>
          <w:lang w:eastAsia="en-US"/>
        </w:rPr>
        <w:t>7,</w:t>
      </w:r>
      <w:r w:rsidR="0021757A">
        <w:rPr>
          <w:rFonts w:eastAsiaTheme="minorHAnsi"/>
          <w:lang w:eastAsia="en-US"/>
        </w:rPr>
        <w:t>09</w:t>
      </w:r>
      <w:r w:rsidRPr="00301B62">
        <w:rPr>
          <w:rFonts w:eastAsiaTheme="minorHAnsi"/>
          <w:lang w:eastAsia="en-US"/>
        </w:rPr>
        <w:t>% kao rezultat orijentacije zaduživanja na domaćem tržištu izdavanjem obveznica u kunama. U istom razdoblju udio duga denominiranog u dolarima smanjio se s 5,</w:t>
      </w:r>
      <w:r w:rsidR="0021757A">
        <w:rPr>
          <w:rFonts w:eastAsiaTheme="minorHAnsi"/>
          <w:lang w:eastAsia="en-US"/>
        </w:rPr>
        <w:t>09</w:t>
      </w:r>
      <w:r w:rsidRPr="00301B62">
        <w:rPr>
          <w:rFonts w:eastAsiaTheme="minorHAnsi"/>
          <w:lang w:eastAsia="en-US"/>
        </w:rPr>
        <w:t>% na 4</w:t>
      </w:r>
      <w:r w:rsidR="0021757A">
        <w:rPr>
          <w:rFonts w:eastAsiaTheme="minorHAnsi"/>
          <w:lang w:eastAsia="en-US"/>
        </w:rPr>
        <w:t>,01</w:t>
      </w:r>
      <w:r w:rsidRPr="00301B62">
        <w:rPr>
          <w:rFonts w:eastAsiaTheme="minorHAnsi"/>
          <w:lang w:eastAsia="en-US"/>
        </w:rPr>
        <w:t>%. Iz svega navedenog je vidljivo da se</w:t>
      </w:r>
      <w:r w:rsidR="00210485" w:rsidRPr="00301B62">
        <w:rPr>
          <w:rFonts w:eastAsiaTheme="minorHAnsi"/>
          <w:lang w:eastAsia="en-US"/>
        </w:rPr>
        <w:t xml:space="preserve"> u prvoj polovici</w:t>
      </w:r>
      <w:r w:rsidRPr="00301B62">
        <w:rPr>
          <w:rFonts w:eastAsiaTheme="minorHAnsi"/>
          <w:lang w:eastAsia="en-US"/>
        </w:rPr>
        <w:t xml:space="preserve"> 201</w:t>
      </w:r>
      <w:r w:rsidR="00210485" w:rsidRPr="00301B62">
        <w:rPr>
          <w:rFonts w:eastAsiaTheme="minorHAnsi"/>
          <w:lang w:eastAsia="en-US"/>
        </w:rPr>
        <w:t>8</w:t>
      </w:r>
      <w:r w:rsidRPr="00301B62">
        <w:rPr>
          <w:rFonts w:eastAsiaTheme="minorHAnsi"/>
          <w:lang w:eastAsia="en-US"/>
        </w:rPr>
        <w:t>. godine uz osnovni cilj zaduživanja i upravljanja dugom vodilo računa o ublažavanju valutnog rizika javnog duga, što je bio jedan od ciljeva trogodišnje strategije upravljanja</w:t>
      </w:r>
      <w:r w:rsidR="003E5878" w:rsidRPr="00301B62">
        <w:rPr>
          <w:rFonts w:eastAsiaTheme="minorHAnsi"/>
          <w:lang w:eastAsia="en-US"/>
        </w:rPr>
        <w:t xml:space="preserve"> dugom</w:t>
      </w:r>
      <w:r w:rsidRPr="00301B62">
        <w:rPr>
          <w:rFonts w:eastAsiaTheme="minorHAnsi"/>
          <w:lang w:eastAsia="en-US"/>
        </w:rPr>
        <w:t>.</w:t>
      </w:r>
    </w:p>
    <w:p w:rsidR="009C5A67" w:rsidRPr="00301B62" w:rsidRDefault="009C5A67" w:rsidP="00855349">
      <w:pPr>
        <w:spacing w:after="200" w:line="276" w:lineRule="auto"/>
        <w:rPr>
          <w:rFonts w:eastAsiaTheme="minorHAnsi"/>
          <w:lang w:eastAsia="en-US"/>
        </w:rPr>
      </w:pPr>
    </w:p>
    <w:p w:rsidR="00841D91" w:rsidRPr="000A0F07" w:rsidRDefault="00841D91" w:rsidP="00841D91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eastAsiaTheme="minorHAnsi"/>
          <w:b/>
          <w:i/>
          <w:lang w:eastAsia="en-US"/>
        </w:rPr>
      </w:pPr>
      <w:r w:rsidRPr="000A0F07">
        <w:rPr>
          <w:rFonts w:eastAsiaTheme="minorHAnsi"/>
          <w:b/>
          <w:i/>
          <w:lang w:eastAsia="en-US"/>
        </w:rPr>
        <w:t>Kamatna struktura državnog duga</w:t>
      </w:r>
    </w:p>
    <w:p w:rsidR="00841D91" w:rsidRPr="001D6A0A" w:rsidRDefault="00C11D2E" w:rsidP="00841D91">
      <w:pPr>
        <w:spacing w:after="200" w:line="276" w:lineRule="auto"/>
        <w:jc w:val="both"/>
        <w:rPr>
          <w:rFonts w:eastAsiaTheme="minorHAnsi"/>
          <w:lang w:eastAsia="en-US"/>
        </w:rPr>
      </w:pPr>
      <w:r w:rsidRPr="001D6A0A">
        <w:rPr>
          <w:rFonts w:eastAsiaTheme="minorHAnsi"/>
          <w:lang w:eastAsia="en-US"/>
        </w:rPr>
        <w:t xml:space="preserve">Potkraj </w:t>
      </w:r>
      <w:r w:rsidR="001D6A0A" w:rsidRPr="001D6A0A">
        <w:rPr>
          <w:rFonts w:eastAsiaTheme="minorHAnsi"/>
          <w:lang w:eastAsia="en-US"/>
        </w:rPr>
        <w:t>lipnja 20</w:t>
      </w:r>
      <w:r w:rsidRPr="001D6A0A">
        <w:rPr>
          <w:rFonts w:eastAsiaTheme="minorHAnsi"/>
          <w:lang w:eastAsia="en-US"/>
        </w:rPr>
        <w:t>1</w:t>
      </w:r>
      <w:r w:rsidR="001D6A0A" w:rsidRPr="001D6A0A">
        <w:rPr>
          <w:rFonts w:eastAsiaTheme="minorHAnsi"/>
          <w:lang w:eastAsia="en-US"/>
        </w:rPr>
        <w:t>8</w:t>
      </w:r>
      <w:r w:rsidRPr="001D6A0A">
        <w:rPr>
          <w:rFonts w:eastAsiaTheme="minorHAnsi"/>
          <w:lang w:eastAsia="en-US"/>
        </w:rPr>
        <w:t>. godine 88,9% dugoročnog duga državnog proračuna čine instrumenti s fiksnom kamatnom stopom. Taj udio se povećao</w:t>
      </w:r>
      <w:r w:rsidR="00A33AE0" w:rsidRPr="001D6A0A">
        <w:rPr>
          <w:rFonts w:eastAsiaTheme="minorHAnsi"/>
          <w:lang w:eastAsia="en-US"/>
        </w:rPr>
        <w:t xml:space="preserve"> s 8</w:t>
      </w:r>
      <w:r w:rsidR="001D6A0A" w:rsidRPr="001D6A0A">
        <w:rPr>
          <w:rFonts w:eastAsiaTheme="minorHAnsi"/>
          <w:lang w:eastAsia="en-US"/>
        </w:rPr>
        <w:t>6,2</w:t>
      </w:r>
      <w:r w:rsidR="00A33AE0" w:rsidRPr="001D6A0A">
        <w:rPr>
          <w:rFonts w:eastAsiaTheme="minorHAnsi"/>
          <w:lang w:eastAsia="en-US"/>
        </w:rPr>
        <w:t>%</w:t>
      </w:r>
      <w:r w:rsidR="00CA0C6D" w:rsidRPr="001D6A0A">
        <w:rPr>
          <w:rFonts w:eastAsiaTheme="minorHAnsi"/>
          <w:lang w:eastAsia="en-US"/>
        </w:rPr>
        <w:t xml:space="preserve"> koliko je iznosio potkraj 201</w:t>
      </w:r>
      <w:r w:rsidR="001D6A0A" w:rsidRPr="001D6A0A">
        <w:rPr>
          <w:rFonts w:eastAsiaTheme="minorHAnsi"/>
          <w:lang w:eastAsia="en-US"/>
        </w:rPr>
        <w:t>6</w:t>
      </w:r>
      <w:r w:rsidR="00CA0C6D" w:rsidRPr="001D6A0A">
        <w:rPr>
          <w:rFonts w:eastAsiaTheme="minorHAnsi"/>
          <w:lang w:eastAsia="en-US"/>
        </w:rPr>
        <w:t xml:space="preserve">. godine  </w:t>
      </w:r>
      <w:r w:rsidR="00913142" w:rsidRPr="001D6A0A">
        <w:rPr>
          <w:rFonts w:eastAsiaTheme="minorHAnsi"/>
          <w:lang w:eastAsia="en-US"/>
        </w:rPr>
        <w:t xml:space="preserve">ponajprije kao </w:t>
      </w:r>
      <w:r w:rsidR="00913142" w:rsidRPr="001D6A0A">
        <w:t>posljedica jednim dijelom supstitucije kreditnih zaduženja obvezničkim instrumentima</w:t>
      </w:r>
      <w:r w:rsidR="00620A1C" w:rsidRPr="001D6A0A">
        <w:t xml:space="preserve"> s fiksnom kamatnom stopom</w:t>
      </w:r>
      <w:r w:rsidRPr="001D6A0A">
        <w:t>, i</w:t>
      </w:r>
      <w:r w:rsidR="003E5878" w:rsidRPr="001D6A0A">
        <w:t>z čega je</w:t>
      </w:r>
      <w:r w:rsidR="00620A1C" w:rsidRPr="001D6A0A">
        <w:t xml:space="preserve"> vidljivo da se </w:t>
      </w:r>
      <w:r w:rsidRPr="001D6A0A">
        <w:t>vo</w:t>
      </w:r>
      <w:r w:rsidR="00620A1C" w:rsidRPr="001D6A0A">
        <w:t>dilo računa o ublažavanju kamatnog rizika javnog duga</w:t>
      </w:r>
      <w:r w:rsidRPr="001D6A0A">
        <w:t xml:space="preserve"> što je bio jedan od ciljeva strategije upravljanja dugom</w:t>
      </w:r>
      <w:r w:rsidR="00620A1C" w:rsidRPr="001D6A0A">
        <w:t xml:space="preserve">. </w:t>
      </w:r>
      <w:r w:rsidR="00913142" w:rsidRPr="001D6A0A">
        <w:t xml:space="preserve">Kretanje strukture dugoročnog državnog duga prema vrsti kamatne stope prikazano je grafikonom </w:t>
      </w:r>
      <w:r w:rsidR="00650098" w:rsidRPr="001D6A0A">
        <w:t>3</w:t>
      </w:r>
      <w:r w:rsidR="00913142" w:rsidRPr="001D6A0A">
        <w:t>.</w:t>
      </w:r>
    </w:p>
    <w:p w:rsidR="00B36969" w:rsidRPr="00A36543" w:rsidRDefault="00B36969" w:rsidP="00B36969">
      <w:pPr>
        <w:pStyle w:val="Opisslike"/>
        <w:keepNext/>
        <w:jc w:val="both"/>
        <w:rPr>
          <w:i/>
          <w:color w:val="auto"/>
          <w:sz w:val="24"/>
          <w:szCs w:val="24"/>
        </w:rPr>
      </w:pPr>
      <w:r w:rsidRPr="00A36543">
        <w:rPr>
          <w:i/>
          <w:color w:val="auto"/>
          <w:sz w:val="24"/>
          <w:szCs w:val="24"/>
        </w:rPr>
        <w:t xml:space="preserve">Grafikon </w:t>
      </w:r>
      <w:r w:rsidRPr="00A36543">
        <w:rPr>
          <w:i/>
          <w:color w:val="auto"/>
          <w:sz w:val="24"/>
          <w:szCs w:val="24"/>
        </w:rPr>
        <w:fldChar w:fldCharType="begin"/>
      </w:r>
      <w:r w:rsidRPr="00A36543">
        <w:rPr>
          <w:i/>
          <w:color w:val="auto"/>
          <w:sz w:val="24"/>
          <w:szCs w:val="24"/>
        </w:rPr>
        <w:instrText xml:space="preserve"> SEQ Grafikon \* ARABIC </w:instrText>
      </w:r>
      <w:r w:rsidRPr="00A36543">
        <w:rPr>
          <w:i/>
          <w:color w:val="auto"/>
          <w:sz w:val="24"/>
          <w:szCs w:val="24"/>
        </w:rPr>
        <w:fldChar w:fldCharType="separate"/>
      </w:r>
      <w:r w:rsidR="00551FD6">
        <w:rPr>
          <w:i/>
          <w:noProof/>
          <w:color w:val="auto"/>
          <w:sz w:val="24"/>
          <w:szCs w:val="24"/>
        </w:rPr>
        <w:t>3</w:t>
      </w:r>
      <w:r w:rsidRPr="00A36543">
        <w:rPr>
          <w:i/>
          <w:color w:val="auto"/>
          <w:sz w:val="24"/>
          <w:szCs w:val="24"/>
        </w:rPr>
        <w:fldChar w:fldCharType="end"/>
      </w:r>
      <w:r w:rsidRPr="00A36543">
        <w:rPr>
          <w:i/>
          <w:color w:val="auto"/>
          <w:sz w:val="24"/>
          <w:szCs w:val="24"/>
        </w:rPr>
        <w:t>. Kretanje strukture dugoročnog državnog duga prema vrsti kamatne stope</w:t>
      </w:r>
    </w:p>
    <w:p w:rsidR="0022690B" w:rsidRDefault="0022690B" w:rsidP="0022690B">
      <w:r>
        <w:rPr>
          <w:noProof/>
        </w:rPr>
        <w:drawing>
          <wp:inline distT="0" distB="0" distL="0" distR="0" wp14:anchorId="24E7863A" wp14:editId="611528F3">
            <wp:extent cx="5760720" cy="3320952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0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90B" w:rsidRPr="0022690B" w:rsidRDefault="0022690B" w:rsidP="0022690B"/>
    <w:p w:rsidR="00841D91" w:rsidRPr="000A0F07" w:rsidRDefault="00841D91" w:rsidP="00B3696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841D91" w:rsidRDefault="00841D91" w:rsidP="00B36969">
      <w:pPr>
        <w:spacing w:after="200" w:line="276" w:lineRule="auto"/>
        <w:jc w:val="both"/>
        <w:rPr>
          <w:rFonts w:eastAsiaTheme="minorHAnsi"/>
          <w:b/>
          <w:i/>
          <w:lang w:eastAsia="en-US"/>
        </w:rPr>
      </w:pPr>
    </w:p>
    <w:p w:rsidR="001E4E1B" w:rsidRPr="000A0F07" w:rsidRDefault="001E4E1B" w:rsidP="00B36969">
      <w:pPr>
        <w:spacing w:after="200" w:line="276" w:lineRule="auto"/>
        <w:jc w:val="both"/>
        <w:rPr>
          <w:rFonts w:eastAsiaTheme="minorHAnsi"/>
          <w:b/>
          <w:i/>
          <w:lang w:eastAsia="en-US"/>
        </w:rPr>
      </w:pPr>
    </w:p>
    <w:p w:rsidR="00841D91" w:rsidRPr="000A0F07" w:rsidRDefault="002C0D6C" w:rsidP="002C0D6C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eastAsiaTheme="minorHAnsi"/>
          <w:b/>
          <w:i/>
          <w:lang w:eastAsia="en-US"/>
        </w:rPr>
      </w:pPr>
      <w:r w:rsidRPr="000A0F07">
        <w:rPr>
          <w:rFonts w:eastAsiaTheme="minorHAnsi"/>
          <w:b/>
          <w:i/>
          <w:lang w:eastAsia="en-US"/>
        </w:rPr>
        <w:lastRenderedPageBreak/>
        <w:t>Ročna struktura državnog duga</w:t>
      </w:r>
    </w:p>
    <w:p w:rsidR="006C74CF" w:rsidRPr="001D6A0A" w:rsidRDefault="00913BB5" w:rsidP="008945C3">
      <w:pPr>
        <w:spacing w:after="200" w:line="276" w:lineRule="auto"/>
        <w:jc w:val="both"/>
        <w:rPr>
          <w:rFonts w:eastAsiaTheme="minorHAnsi"/>
          <w:lang w:eastAsia="en-US"/>
        </w:rPr>
      </w:pPr>
      <w:r w:rsidRPr="001D6A0A">
        <w:rPr>
          <w:rFonts w:eastAsiaTheme="minorHAnsi"/>
          <w:lang w:eastAsia="en-US"/>
        </w:rPr>
        <w:t xml:space="preserve">Projekcija otplata glavnica domaćeg i inozemnog duga u razdoblju 2018. - 2028. prikazana je grafikonom </w:t>
      </w:r>
      <w:r w:rsidR="00650098" w:rsidRPr="001D6A0A">
        <w:rPr>
          <w:rFonts w:eastAsiaTheme="minorHAnsi"/>
          <w:lang w:eastAsia="en-US"/>
        </w:rPr>
        <w:t>4</w:t>
      </w:r>
      <w:r w:rsidRPr="001D6A0A">
        <w:rPr>
          <w:rFonts w:eastAsiaTheme="minorHAnsi"/>
          <w:lang w:eastAsia="en-US"/>
        </w:rPr>
        <w:t>. U projekciju nisu uključene obveze po trezorskim zapisima</w:t>
      </w:r>
      <w:r w:rsidR="00B36969" w:rsidRPr="001D6A0A">
        <w:rPr>
          <w:rFonts w:eastAsiaTheme="minorHAnsi"/>
          <w:lang w:eastAsia="en-US"/>
        </w:rPr>
        <w:t>,</w:t>
      </w:r>
      <w:r w:rsidRPr="001D6A0A">
        <w:rPr>
          <w:rFonts w:eastAsiaTheme="minorHAnsi"/>
          <w:lang w:eastAsia="en-US"/>
        </w:rPr>
        <w:t xml:space="preserve"> koje su potkraj</w:t>
      </w:r>
      <w:r w:rsidR="001D6A0A">
        <w:rPr>
          <w:rFonts w:eastAsiaTheme="minorHAnsi"/>
          <w:lang w:eastAsia="en-US"/>
        </w:rPr>
        <w:t xml:space="preserve"> lipnja</w:t>
      </w:r>
      <w:r w:rsidRPr="001D6A0A">
        <w:rPr>
          <w:rFonts w:eastAsiaTheme="minorHAnsi"/>
          <w:lang w:eastAsia="en-US"/>
        </w:rPr>
        <w:t xml:space="preserve"> 201</w:t>
      </w:r>
      <w:r w:rsidR="001D6A0A">
        <w:rPr>
          <w:rFonts w:eastAsiaTheme="minorHAnsi"/>
          <w:lang w:eastAsia="en-US"/>
        </w:rPr>
        <w:t>8</w:t>
      </w:r>
      <w:r w:rsidRPr="001D6A0A">
        <w:rPr>
          <w:rFonts w:eastAsiaTheme="minorHAnsi"/>
          <w:lang w:eastAsia="en-US"/>
        </w:rPr>
        <w:t>. godine iznosile 2</w:t>
      </w:r>
      <w:r w:rsidR="001D6A0A">
        <w:rPr>
          <w:rFonts w:eastAsiaTheme="minorHAnsi"/>
          <w:lang w:eastAsia="en-US"/>
        </w:rPr>
        <w:t>9,9</w:t>
      </w:r>
      <w:r w:rsidRPr="001D6A0A">
        <w:rPr>
          <w:rFonts w:eastAsiaTheme="minorHAnsi"/>
          <w:lang w:eastAsia="en-US"/>
        </w:rPr>
        <w:t xml:space="preserve"> milijardi kuna</w:t>
      </w:r>
      <w:r w:rsidR="008B750B">
        <w:rPr>
          <w:rFonts w:eastAsiaTheme="minorHAnsi"/>
          <w:lang w:eastAsia="en-US"/>
        </w:rPr>
        <w:t xml:space="preserve"> te obveze po kratkoročnim kreditima u iznosu 1,535 milijardi kuna</w:t>
      </w:r>
      <w:r w:rsidRPr="001D6A0A">
        <w:rPr>
          <w:rFonts w:eastAsiaTheme="minorHAnsi"/>
          <w:lang w:eastAsia="en-US"/>
        </w:rPr>
        <w:t>. Bez dospijeća trezorskih zapisa, u</w:t>
      </w:r>
      <w:r w:rsidR="001D6A0A">
        <w:rPr>
          <w:rFonts w:eastAsiaTheme="minorHAnsi"/>
          <w:lang w:eastAsia="en-US"/>
        </w:rPr>
        <w:t xml:space="preserve"> drugoj polovici</w:t>
      </w:r>
      <w:r w:rsidRPr="001D6A0A">
        <w:rPr>
          <w:rFonts w:eastAsiaTheme="minorHAnsi"/>
          <w:lang w:eastAsia="en-US"/>
        </w:rPr>
        <w:t xml:space="preserve"> 2018. godini potrebno je otplatiti dugoročnih obveza u iznosu 1</w:t>
      </w:r>
      <w:r w:rsidR="008B750B">
        <w:rPr>
          <w:rFonts w:eastAsiaTheme="minorHAnsi"/>
          <w:lang w:eastAsia="en-US"/>
        </w:rPr>
        <w:t>5,659</w:t>
      </w:r>
      <w:r w:rsidRPr="001D6A0A">
        <w:rPr>
          <w:rFonts w:eastAsiaTheme="minorHAnsi"/>
          <w:lang w:eastAsia="en-US"/>
        </w:rPr>
        <w:t xml:space="preserve"> milijardi kuna. S obzirom da je za jedan od zadataka upravljanja javnim dugom važno održavati ravnomjeran teret otplata u nadolazećem razdoblju, </w:t>
      </w:r>
      <w:r w:rsidR="00EC2BBB" w:rsidRPr="001D6A0A">
        <w:rPr>
          <w:rFonts w:eastAsiaTheme="minorHAnsi"/>
          <w:lang w:eastAsia="en-US"/>
        </w:rPr>
        <w:t xml:space="preserve">prilikom zaduživanja </w:t>
      </w:r>
      <w:r w:rsidRPr="001D6A0A">
        <w:rPr>
          <w:rFonts w:eastAsiaTheme="minorHAnsi"/>
          <w:lang w:eastAsia="en-US"/>
        </w:rPr>
        <w:t xml:space="preserve">posebna </w:t>
      </w:r>
      <w:r w:rsidR="00C560E4" w:rsidRPr="001D6A0A">
        <w:rPr>
          <w:rFonts w:eastAsiaTheme="minorHAnsi"/>
          <w:lang w:eastAsia="en-US"/>
        </w:rPr>
        <w:t xml:space="preserve">se </w:t>
      </w:r>
      <w:r w:rsidRPr="001D6A0A">
        <w:rPr>
          <w:rFonts w:eastAsiaTheme="minorHAnsi"/>
          <w:lang w:eastAsia="en-US"/>
        </w:rPr>
        <w:t xml:space="preserve">pažnja </w:t>
      </w:r>
      <w:r w:rsidR="00EC2BBB" w:rsidRPr="001D6A0A">
        <w:rPr>
          <w:rFonts w:eastAsiaTheme="minorHAnsi"/>
          <w:lang w:eastAsia="en-US"/>
        </w:rPr>
        <w:t xml:space="preserve">pridavala </w:t>
      </w:r>
      <w:r w:rsidR="00B36969" w:rsidRPr="001D6A0A">
        <w:rPr>
          <w:rFonts w:eastAsiaTheme="minorHAnsi"/>
          <w:lang w:eastAsia="en-US"/>
        </w:rPr>
        <w:t xml:space="preserve"> zadržavanju </w:t>
      </w:r>
      <w:r w:rsidRPr="001D6A0A">
        <w:rPr>
          <w:rFonts w:eastAsiaTheme="minorHAnsi"/>
          <w:lang w:eastAsia="en-US"/>
        </w:rPr>
        <w:t>ujednačenog dospijeća duga.</w:t>
      </w:r>
      <w:r w:rsidR="00EC2BBB" w:rsidRPr="001D6A0A">
        <w:rPr>
          <w:rFonts w:eastAsiaTheme="minorHAnsi"/>
          <w:lang w:eastAsia="en-US"/>
        </w:rPr>
        <w:t xml:space="preserve"> Koristila se</w:t>
      </w:r>
      <w:r w:rsidRPr="001D6A0A">
        <w:rPr>
          <w:rFonts w:eastAsiaTheme="minorHAnsi"/>
          <w:lang w:eastAsia="en-US"/>
        </w:rPr>
        <w:t xml:space="preserve"> mogućnost refinanciranja postojećeg duga po povoljnijim uvjetima i s dužim razdobljem otplate s obzirom na trenutnu situaciju na financijskim tržištima.</w:t>
      </w:r>
    </w:p>
    <w:p w:rsidR="00B36969" w:rsidRPr="00A36543" w:rsidRDefault="00B36969" w:rsidP="00B36969">
      <w:pPr>
        <w:pStyle w:val="Opisslike"/>
        <w:keepNext/>
        <w:jc w:val="both"/>
        <w:rPr>
          <w:i/>
          <w:color w:val="auto"/>
          <w:sz w:val="24"/>
          <w:szCs w:val="24"/>
        </w:rPr>
      </w:pPr>
      <w:r w:rsidRPr="00A36543">
        <w:rPr>
          <w:i/>
          <w:color w:val="auto"/>
          <w:sz w:val="24"/>
          <w:szCs w:val="24"/>
        </w:rPr>
        <w:t xml:space="preserve">Grafikon </w:t>
      </w:r>
      <w:r w:rsidRPr="00A36543">
        <w:rPr>
          <w:i/>
          <w:color w:val="auto"/>
          <w:sz w:val="24"/>
          <w:szCs w:val="24"/>
        </w:rPr>
        <w:fldChar w:fldCharType="begin"/>
      </w:r>
      <w:r w:rsidRPr="00A36543">
        <w:rPr>
          <w:i/>
          <w:color w:val="auto"/>
          <w:sz w:val="24"/>
          <w:szCs w:val="24"/>
        </w:rPr>
        <w:instrText xml:space="preserve"> SEQ Grafikon \* ARABIC </w:instrText>
      </w:r>
      <w:r w:rsidRPr="00A36543">
        <w:rPr>
          <w:i/>
          <w:color w:val="auto"/>
          <w:sz w:val="24"/>
          <w:szCs w:val="24"/>
        </w:rPr>
        <w:fldChar w:fldCharType="separate"/>
      </w:r>
      <w:r w:rsidR="00551FD6">
        <w:rPr>
          <w:i/>
          <w:noProof/>
          <w:color w:val="auto"/>
          <w:sz w:val="24"/>
          <w:szCs w:val="24"/>
        </w:rPr>
        <w:t>4</w:t>
      </w:r>
      <w:r w:rsidRPr="00A36543">
        <w:rPr>
          <w:i/>
          <w:color w:val="auto"/>
          <w:sz w:val="24"/>
          <w:szCs w:val="24"/>
        </w:rPr>
        <w:fldChar w:fldCharType="end"/>
      </w:r>
      <w:r w:rsidRPr="00A36543">
        <w:rPr>
          <w:i/>
          <w:color w:val="auto"/>
          <w:sz w:val="24"/>
          <w:szCs w:val="24"/>
        </w:rPr>
        <w:t>. Projekcija otplata glavnica domaćeg i inozemnog</w:t>
      </w:r>
      <w:r w:rsidR="002A3F40" w:rsidRPr="00A36543">
        <w:rPr>
          <w:i/>
          <w:color w:val="auto"/>
          <w:sz w:val="24"/>
          <w:szCs w:val="24"/>
        </w:rPr>
        <w:t xml:space="preserve"> dugoročnog  duga </w:t>
      </w:r>
    </w:p>
    <w:p w:rsidR="00F10E22" w:rsidRDefault="00F10E22" w:rsidP="00F10E22">
      <w:r>
        <w:rPr>
          <w:noProof/>
        </w:rPr>
        <w:drawing>
          <wp:inline distT="0" distB="0" distL="0" distR="0" wp14:anchorId="50018B20">
            <wp:extent cx="5946170" cy="3404286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4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E22" w:rsidRPr="00F10E22" w:rsidRDefault="00F10E22" w:rsidP="00F10E22"/>
    <w:p w:rsidR="008B750B" w:rsidRPr="000A0F07" w:rsidRDefault="008B750B" w:rsidP="008B750B">
      <w:pPr>
        <w:spacing w:before="240" w:line="276" w:lineRule="auto"/>
        <w:jc w:val="both"/>
      </w:pPr>
      <w:r>
        <w:t>U</w:t>
      </w:r>
      <w:r w:rsidRPr="000A0F07">
        <w:t xml:space="preserve"> tablici </w:t>
      </w:r>
      <w:r>
        <w:t>5</w:t>
      </w:r>
      <w:r w:rsidRPr="000A0F07">
        <w:t xml:space="preserve">. Projekcije otplata državnog duga dane su projekcije otplata glavnica </w:t>
      </w:r>
      <w:r>
        <w:t xml:space="preserve">dugoročnog i kratkoročnog </w:t>
      </w:r>
      <w:r w:rsidRPr="000A0F07">
        <w:t>državnog duga prema oblicima zaduženja u razdoblju od 2018. do 20</w:t>
      </w:r>
      <w:r>
        <w:t>32</w:t>
      </w:r>
      <w:r w:rsidRPr="000A0F07">
        <w:t>. godine.</w:t>
      </w:r>
    </w:p>
    <w:p w:rsidR="008047D8" w:rsidRPr="000A0F07" w:rsidRDefault="008047D8" w:rsidP="00B36969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8047D8" w:rsidRPr="00A36543" w:rsidRDefault="008047D8" w:rsidP="008047D8">
      <w:pPr>
        <w:pStyle w:val="Opisslike"/>
        <w:keepNext/>
        <w:rPr>
          <w:i/>
          <w:color w:val="auto"/>
          <w:sz w:val="24"/>
          <w:szCs w:val="24"/>
        </w:rPr>
      </w:pPr>
      <w:r w:rsidRPr="00A36543">
        <w:rPr>
          <w:i/>
          <w:color w:val="auto"/>
          <w:sz w:val="24"/>
          <w:szCs w:val="24"/>
        </w:rPr>
        <w:lastRenderedPageBreak/>
        <w:t xml:space="preserve">Tablica </w:t>
      </w:r>
      <w:r w:rsidRPr="00A36543">
        <w:rPr>
          <w:i/>
          <w:color w:val="auto"/>
          <w:sz w:val="24"/>
          <w:szCs w:val="24"/>
        </w:rPr>
        <w:fldChar w:fldCharType="begin"/>
      </w:r>
      <w:r w:rsidRPr="00A36543">
        <w:rPr>
          <w:i/>
          <w:color w:val="auto"/>
          <w:sz w:val="24"/>
          <w:szCs w:val="24"/>
        </w:rPr>
        <w:instrText xml:space="preserve"> SEQ Tablica \* ARABIC </w:instrText>
      </w:r>
      <w:r w:rsidRPr="00A36543">
        <w:rPr>
          <w:i/>
          <w:color w:val="auto"/>
          <w:sz w:val="24"/>
          <w:szCs w:val="24"/>
        </w:rPr>
        <w:fldChar w:fldCharType="separate"/>
      </w:r>
      <w:r w:rsidR="00551FD6">
        <w:rPr>
          <w:i/>
          <w:noProof/>
          <w:color w:val="auto"/>
          <w:sz w:val="24"/>
          <w:szCs w:val="24"/>
        </w:rPr>
        <w:t>5</w:t>
      </w:r>
      <w:r w:rsidRPr="00A36543">
        <w:rPr>
          <w:i/>
          <w:color w:val="auto"/>
          <w:sz w:val="24"/>
          <w:szCs w:val="24"/>
        </w:rPr>
        <w:fldChar w:fldCharType="end"/>
      </w:r>
      <w:r w:rsidRPr="00A36543">
        <w:rPr>
          <w:i/>
          <w:color w:val="auto"/>
          <w:sz w:val="24"/>
          <w:szCs w:val="24"/>
        </w:rPr>
        <w:t>. Projekcije otplata gla</w:t>
      </w:r>
      <w:r w:rsidR="008B750B" w:rsidRPr="00A36543">
        <w:rPr>
          <w:i/>
          <w:color w:val="auto"/>
          <w:sz w:val="24"/>
          <w:szCs w:val="24"/>
        </w:rPr>
        <w:t>vnica državnog duga 2018. - 2032</w:t>
      </w:r>
      <w:r w:rsidRPr="00A36543">
        <w:rPr>
          <w:i/>
          <w:color w:val="auto"/>
          <w:sz w:val="24"/>
          <w:szCs w:val="24"/>
        </w:rPr>
        <w:t>.</w:t>
      </w:r>
    </w:p>
    <w:p w:rsidR="008B750B" w:rsidRPr="008B750B" w:rsidRDefault="008B750B" w:rsidP="008B750B">
      <w:r w:rsidRPr="00DC3EE6">
        <w:rPr>
          <w:noProof/>
        </w:rPr>
        <w:drawing>
          <wp:inline distT="0" distB="0" distL="0" distR="0" wp14:anchorId="5AF8075F" wp14:editId="783FA685">
            <wp:extent cx="5760720" cy="227139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DA" w:rsidRPr="009A7A2E" w:rsidRDefault="00E45FDA" w:rsidP="00E45FDA">
      <w:pPr>
        <w:rPr>
          <w:rFonts w:cs="Arial"/>
          <w:i/>
          <w:iCs/>
          <w:sz w:val="16"/>
          <w:szCs w:val="16"/>
        </w:rPr>
      </w:pPr>
      <w:r w:rsidRPr="009A7A2E">
        <w:rPr>
          <w:rFonts w:cs="Arial"/>
          <w:i/>
          <w:iCs/>
          <w:sz w:val="16"/>
          <w:szCs w:val="16"/>
        </w:rPr>
        <w:t>*Srednji tečaj HNB od 30.6.2018.</w:t>
      </w:r>
    </w:p>
    <w:p w:rsidR="00E45FDA" w:rsidRPr="00E45FDA" w:rsidRDefault="00E45FDA" w:rsidP="00E45FDA"/>
    <w:p w:rsidR="008047D8" w:rsidRPr="000A0F07" w:rsidRDefault="008047D8" w:rsidP="008047D8">
      <w:pPr>
        <w:spacing w:after="200" w:line="276" w:lineRule="auto"/>
        <w:jc w:val="both"/>
        <w:rPr>
          <w:rFonts w:eastAsiaTheme="minorHAnsi"/>
          <w:lang w:eastAsia="en-US"/>
        </w:rPr>
      </w:pPr>
    </w:p>
    <w:sectPr w:rsidR="008047D8" w:rsidRPr="000A0F07" w:rsidSect="008945C3">
      <w:footerReference w:type="default" r:id="rId16"/>
      <w:pgSz w:w="11906" w:h="16838"/>
      <w:pgMar w:top="1417" w:right="1417" w:bottom="1417" w:left="1417" w:header="708" w:footer="708" w:gutter="0"/>
      <w:pgNumType w:start="3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C3" w:rsidRDefault="008945C3" w:rsidP="008945C3">
      <w:r>
        <w:separator/>
      </w:r>
    </w:p>
  </w:endnote>
  <w:endnote w:type="continuationSeparator" w:id="0">
    <w:p w:rsidR="008945C3" w:rsidRDefault="008945C3" w:rsidP="0089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30106"/>
      <w:docPartObj>
        <w:docPartGallery w:val="Page Numbers (Bottom of Page)"/>
        <w:docPartUnique/>
      </w:docPartObj>
    </w:sdtPr>
    <w:sdtEndPr/>
    <w:sdtContent>
      <w:p w:rsidR="008945C3" w:rsidRDefault="008945C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FD6">
          <w:rPr>
            <w:noProof/>
          </w:rPr>
          <w:t>362</w:t>
        </w:r>
        <w:r>
          <w:fldChar w:fldCharType="end"/>
        </w:r>
      </w:p>
    </w:sdtContent>
  </w:sdt>
  <w:p w:rsidR="008945C3" w:rsidRDefault="008945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C3" w:rsidRDefault="008945C3" w:rsidP="008945C3">
      <w:r>
        <w:separator/>
      </w:r>
    </w:p>
  </w:footnote>
  <w:footnote w:type="continuationSeparator" w:id="0">
    <w:p w:rsidR="008945C3" w:rsidRDefault="008945C3" w:rsidP="0089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D72"/>
    <w:multiLevelType w:val="hybridMultilevel"/>
    <w:tmpl w:val="49ACA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0FE1"/>
    <w:multiLevelType w:val="hybridMultilevel"/>
    <w:tmpl w:val="47C4BE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182F63"/>
    <w:multiLevelType w:val="hybridMultilevel"/>
    <w:tmpl w:val="6644DD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57CA9"/>
    <w:multiLevelType w:val="hybridMultilevel"/>
    <w:tmpl w:val="DA7EC8DA"/>
    <w:lvl w:ilvl="0" w:tplc="75469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9C7C19"/>
    <w:multiLevelType w:val="hybridMultilevel"/>
    <w:tmpl w:val="E692F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03CF9"/>
    <w:multiLevelType w:val="hybridMultilevel"/>
    <w:tmpl w:val="3FF63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974CB"/>
    <w:multiLevelType w:val="hybridMultilevel"/>
    <w:tmpl w:val="AC9E995C"/>
    <w:lvl w:ilvl="0" w:tplc="33D00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A9"/>
    <w:rsid w:val="00037465"/>
    <w:rsid w:val="000378EF"/>
    <w:rsid w:val="000A0F07"/>
    <w:rsid w:val="000A4E75"/>
    <w:rsid w:val="000B0891"/>
    <w:rsid w:val="0010624E"/>
    <w:rsid w:val="00131A63"/>
    <w:rsid w:val="00153FC4"/>
    <w:rsid w:val="00161ECF"/>
    <w:rsid w:val="001C20CD"/>
    <w:rsid w:val="001C4609"/>
    <w:rsid w:val="001D6A0A"/>
    <w:rsid w:val="001D6CBB"/>
    <w:rsid w:val="001E1308"/>
    <w:rsid w:val="001E4E1B"/>
    <w:rsid w:val="001F1D13"/>
    <w:rsid w:val="001F5F80"/>
    <w:rsid w:val="00210485"/>
    <w:rsid w:val="0021757A"/>
    <w:rsid w:val="00226442"/>
    <w:rsid w:val="0022690B"/>
    <w:rsid w:val="00231F82"/>
    <w:rsid w:val="0028243C"/>
    <w:rsid w:val="00283E28"/>
    <w:rsid w:val="00284E2D"/>
    <w:rsid w:val="002A3F40"/>
    <w:rsid w:val="002C0D6C"/>
    <w:rsid w:val="002F6504"/>
    <w:rsid w:val="00301B62"/>
    <w:rsid w:val="003146B4"/>
    <w:rsid w:val="00314884"/>
    <w:rsid w:val="003229F4"/>
    <w:rsid w:val="00354D07"/>
    <w:rsid w:val="00356E77"/>
    <w:rsid w:val="00371DED"/>
    <w:rsid w:val="003720DE"/>
    <w:rsid w:val="00382542"/>
    <w:rsid w:val="003C1F07"/>
    <w:rsid w:val="003E5878"/>
    <w:rsid w:val="004058A0"/>
    <w:rsid w:val="0044060A"/>
    <w:rsid w:val="0044207F"/>
    <w:rsid w:val="00471BA4"/>
    <w:rsid w:val="004F56AE"/>
    <w:rsid w:val="00530982"/>
    <w:rsid w:val="00540102"/>
    <w:rsid w:val="00546571"/>
    <w:rsid w:val="00551FD6"/>
    <w:rsid w:val="005A62B8"/>
    <w:rsid w:val="005D7A1D"/>
    <w:rsid w:val="005E70CF"/>
    <w:rsid w:val="00610063"/>
    <w:rsid w:val="00620A1C"/>
    <w:rsid w:val="006261DB"/>
    <w:rsid w:val="00643487"/>
    <w:rsid w:val="00650098"/>
    <w:rsid w:val="006B33FB"/>
    <w:rsid w:val="006B580D"/>
    <w:rsid w:val="006C4DB0"/>
    <w:rsid w:val="006C74CF"/>
    <w:rsid w:val="00735E75"/>
    <w:rsid w:val="007372D8"/>
    <w:rsid w:val="007454CD"/>
    <w:rsid w:val="007616E6"/>
    <w:rsid w:val="00786970"/>
    <w:rsid w:val="00797093"/>
    <w:rsid w:val="007B0A41"/>
    <w:rsid w:val="007D190E"/>
    <w:rsid w:val="007E1FCE"/>
    <w:rsid w:val="007E5D5A"/>
    <w:rsid w:val="008047D8"/>
    <w:rsid w:val="008235FE"/>
    <w:rsid w:val="0082681D"/>
    <w:rsid w:val="00841D91"/>
    <w:rsid w:val="00855349"/>
    <w:rsid w:val="008945C3"/>
    <w:rsid w:val="008B2385"/>
    <w:rsid w:val="008B750B"/>
    <w:rsid w:val="008B772F"/>
    <w:rsid w:val="0091083A"/>
    <w:rsid w:val="009118D2"/>
    <w:rsid w:val="00913142"/>
    <w:rsid w:val="00913BB5"/>
    <w:rsid w:val="009851C6"/>
    <w:rsid w:val="009B0A2C"/>
    <w:rsid w:val="009C5A67"/>
    <w:rsid w:val="00A1020F"/>
    <w:rsid w:val="00A118BC"/>
    <w:rsid w:val="00A33AE0"/>
    <w:rsid w:val="00A36543"/>
    <w:rsid w:val="00A77C32"/>
    <w:rsid w:val="00A9047C"/>
    <w:rsid w:val="00A94BB2"/>
    <w:rsid w:val="00AE06D4"/>
    <w:rsid w:val="00AE4668"/>
    <w:rsid w:val="00B054EF"/>
    <w:rsid w:val="00B064F4"/>
    <w:rsid w:val="00B36969"/>
    <w:rsid w:val="00B43AE5"/>
    <w:rsid w:val="00B55C7D"/>
    <w:rsid w:val="00BA6D1C"/>
    <w:rsid w:val="00C075DE"/>
    <w:rsid w:val="00C11D2E"/>
    <w:rsid w:val="00C20F55"/>
    <w:rsid w:val="00C560E4"/>
    <w:rsid w:val="00C61CBF"/>
    <w:rsid w:val="00C70E8B"/>
    <w:rsid w:val="00C776E8"/>
    <w:rsid w:val="00C8378F"/>
    <w:rsid w:val="00C83AB5"/>
    <w:rsid w:val="00CA0C6D"/>
    <w:rsid w:val="00CB3034"/>
    <w:rsid w:val="00CC76B7"/>
    <w:rsid w:val="00CE0585"/>
    <w:rsid w:val="00D47176"/>
    <w:rsid w:val="00D5054D"/>
    <w:rsid w:val="00D749B6"/>
    <w:rsid w:val="00D87630"/>
    <w:rsid w:val="00D96C08"/>
    <w:rsid w:val="00DE18A3"/>
    <w:rsid w:val="00E369A9"/>
    <w:rsid w:val="00E45FDA"/>
    <w:rsid w:val="00E50BC4"/>
    <w:rsid w:val="00E643B9"/>
    <w:rsid w:val="00E7271F"/>
    <w:rsid w:val="00E878B6"/>
    <w:rsid w:val="00EA1BC2"/>
    <w:rsid w:val="00EC07D1"/>
    <w:rsid w:val="00EC2117"/>
    <w:rsid w:val="00EC2BBB"/>
    <w:rsid w:val="00ED0475"/>
    <w:rsid w:val="00F072DC"/>
    <w:rsid w:val="00F10E22"/>
    <w:rsid w:val="00F466C7"/>
    <w:rsid w:val="00F6736A"/>
    <w:rsid w:val="00F6775D"/>
    <w:rsid w:val="00F81770"/>
    <w:rsid w:val="00FA43BB"/>
    <w:rsid w:val="00FA5D3B"/>
    <w:rsid w:val="00FC0425"/>
    <w:rsid w:val="00FE3E64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4058A0"/>
    <w:pPr>
      <w:ind w:firstLine="1496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4058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727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51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1C6"/>
    <w:rPr>
      <w:rFonts w:ascii="Tahoma" w:eastAsia="Times New Roman" w:hAnsi="Tahoma" w:cs="Tahoma"/>
      <w:sz w:val="16"/>
      <w:szCs w:val="16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3146B4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945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45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945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45C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4058A0"/>
    <w:pPr>
      <w:ind w:firstLine="1496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4058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727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51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1C6"/>
    <w:rPr>
      <w:rFonts w:ascii="Tahoma" w:eastAsia="Times New Roman" w:hAnsi="Tahoma" w:cs="Tahoma"/>
      <w:sz w:val="16"/>
      <w:szCs w:val="16"/>
      <w:lang w:eastAsia="hr-HR"/>
    </w:rPr>
  </w:style>
  <w:style w:type="paragraph" w:styleId="Opisslike">
    <w:name w:val="caption"/>
    <w:basedOn w:val="Normal"/>
    <w:next w:val="Normal"/>
    <w:uiPriority w:val="35"/>
    <w:unhideWhenUsed/>
    <w:qFormat/>
    <w:rsid w:val="003146B4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945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945C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945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45C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17</cp:revision>
  <cp:lastPrinted>2018-09-04T13:26:00Z</cp:lastPrinted>
  <dcterms:created xsi:type="dcterms:W3CDTF">2018-08-27T07:06:00Z</dcterms:created>
  <dcterms:modified xsi:type="dcterms:W3CDTF">2018-09-04T13:27:00Z</dcterms:modified>
</cp:coreProperties>
</file>